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6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90"/>
          <w:szCs w:val="90"/>
        </w:rPr>
      </w:pPr>
      <w:r>
        <w:rPr>
          <w:rFonts w:hint="eastAsia" w:ascii="微软雅黑" w:hAnsi="微软雅黑" w:eastAsia="微软雅黑" w:cs="微软雅黑"/>
          <w:b/>
          <w:bCs/>
          <w:sz w:val="90"/>
          <w:szCs w:val="90"/>
          <w:lang w:eastAsia="zh-CN"/>
        </w:rPr>
        <w:drawing>
          <wp:inline distT="0" distB="0" distL="114300" distR="114300">
            <wp:extent cx="1676400" cy="838200"/>
            <wp:effectExtent l="0" t="0" r="0" b="0"/>
            <wp:docPr id="174" name="图片 174" descr="IO0R6%2BKHU[I]`C8@~)K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IO0R6%2BKHU[I]`C8@~)K2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90"/>
          <w:szCs w:val="90"/>
        </w:rPr>
      </w:pPr>
      <w:r>
        <w:rPr>
          <w:rFonts w:hint="eastAsia" w:ascii="微软雅黑" w:hAnsi="微软雅黑" w:eastAsia="微软雅黑" w:cs="微软雅黑"/>
          <w:b/>
          <w:bCs/>
          <w:sz w:val="90"/>
          <w:szCs w:val="90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172" name="矩形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Phwl/c8AAAD/AAAA&#10;DwAAAAAAAAABACAAAAAiAAAAZHJzL2Rvd25yZXYueG1sUEsBAhQAFAAAAAgAh07iQCeutzWwAQAA&#10;aAMAAA4AAAAAAAAAAQAgAAAAHgEAAGRycy9lMm9Eb2MueG1sUEsFBgAAAAAGAAYAWQEAAEAFAAAA&#10;AA=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6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eastAsia="zh-CN"/>
        </w:rPr>
        <w:t>竞价网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竞价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  <w:lang w:eastAsia="zh-CN"/>
        </w:rPr>
        <w:t>采购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管理员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6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eastAsia="zh-CN"/>
        </w:rPr>
        <w:t>操作手册</w:t>
      </w: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sz w:val="72"/>
          <w:szCs w:val="72"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jc w:val="center"/>
        <w:rPr>
          <w:rStyle w:val="22"/>
          <w:rFonts w:hint="eastAsia" w:ascii="微软雅黑" w:hAnsi="微软雅黑" w:eastAsia="微软雅黑" w:cs="微软雅黑"/>
          <w:b/>
          <w:lang w:val="en-US" w:eastAsia="zh-CN"/>
        </w:rPr>
      </w:pPr>
    </w:p>
    <w:p>
      <w:pPr>
        <w:spacing w:line="460" w:lineRule="exact"/>
        <w:jc w:val="center"/>
        <w:rPr>
          <w:rFonts w:hint="eastAsia" w:ascii="宋体" w:hAnsi="宋体" w:cs="宋体"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广州竞采星信息技术有限公司</w:t>
      </w:r>
    </w:p>
    <w:p>
      <w:pPr>
        <w:spacing w:line="460" w:lineRule="exact"/>
        <w:jc w:val="center"/>
        <w:rPr>
          <w:rFonts w:hint="eastAsia" w:ascii="宋体" w:hAnsi="宋体" w:cs="宋体"/>
          <w:bCs/>
          <w:sz w:val="28"/>
          <w:szCs w:val="28"/>
          <w:lang w:eastAsia="zh-CN"/>
        </w:rPr>
      </w:pPr>
    </w:p>
    <w:p>
      <w:pPr>
        <w:spacing w:line="460" w:lineRule="exact"/>
        <w:jc w:val="center"/>
        <w:rPr>
          <w:rFonts w:hint="eastAsia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2024年11月</w:t>
      </w:r>
    </w:p>
    <w:p>
      <w:pPr>
        <w:spacing w:line="460" w:lineRule="exact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line="460" w:lineRule="exact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407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cs="宋体" w:eastAsiaTheme="minorEastAsia"/>
          <w:b/>
          <w:bCs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_Toc29331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1. </w:t>
          </w:r>
          <w:r>
            <w:rPr>
              <w:rFonts w:hint="eastAsia"/>
              <w:b/>
              <w:lang w:val="en-US" w:eastAsia="zh-CN"/>
            </w:rPr>
            <w:t>流程图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_Toc29331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_Toc30357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2. </w:t>
          </w:r>
          <w:r>
            <w:rPr>
              <w:rFonts w:hint="eastAsia"/>
              <w:b/>
            </w:rPr>
            <w:t>待处理事项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_Toc30357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_Toc24781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待处理事项简介</w:t>
          </w:r>
          <w:r>
            <w:tab/>
          </w:r>
          <w:r>
            <w:fldChar w:fldCharType="begin"/>
          </w:r>
          <w:r>
            <w:instrText xml:space="preserve"> PAGEREF _Toc24781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_Toc10199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查看待处理事项</w:t>
          </w:r>
          <w:r>
            <w:tab/>
          </w:r>
          <w:r>
            <w:fldChar w:fldCharType="begin"/>
          </w:r>
          <w:r>
            <w:instrText xml:space="preserve"> PAGEREF _Toc10199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_Toc18516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3. </w:t>
          </w:r>
          <w:r>
            <w:rPr>
              <w:rFonts w:hint="eastAsia"/>
              <w:b/>
            </w:rPr>
            <w:t>发布审批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_Toc18516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_Toc12799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发布审批简介</w:t>
          </w:r>
          <w:r>
            <w:tab/>
          </w:r>
          <w:r>
            <w:fldChar w:fldCharType="begin"/>
          </w:r>
          <w:r>
            <w:instrText xml:space="preserve"> PAGEREF _Toc12799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_Toc20427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查询发布审批申购单</w:t>
          </w:r>
          <w:r>
            <w:tab/>
          </w:r>
          <w:r>
            <w:fldChar w:fldCharType="begin"/>
          </w:r>
          <w:r>
            <w:instrText xml:space="preserve"> PAGEREF _Toc20427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_Toc29042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查看发布审批详情</w:t>
          </w:r>
          <w:r>
            <w:tab/>
          </w:r>
          <w:r>
            <w:fldChar w:fldCharType="begin"/>
          </w:r>
          <w:r>
            <w:instrText xml:space="preserve"> PAGEREF _Toc29042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_Toc14601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审批通过</w:t>
          </w:r>
          <w:r>
            <w:tab/>
          </w:r>
          <w:r>
            <w:fldChar w:fldCharType="begin"/>
          </w:r>
          <w:r>
            <w:instrText xml:space="preserve"> PAGEREF _Toc14601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_Toc17294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e) </w:t>
          </w:r>
          <w:r>
            <w:rPr>
              <w:rFonts w:hint="eastAsia"/>
            </w:rPr>
            <w:t>审批驳回</w:t>
          </w:r>
          <w:r>
            <w:tab/>
          </w:r>
          <w:r>
            <w:fldChar w:fldCharType="begin"/>
          </w:r>
          <w:r>
            <w:instrText xml:space="preserve"> PAGEREF _Toc17294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_Toc2900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f) </w:t>
          </w:r>
          <w:r>
            <w:rPr>
              <w:rFonts w:hint="eastAsia"/>
            </w:rPr>
            <w:t>终止交易</w:t>
          </w:r>
          <w:r>
            <w:tab/>
          </w:r>
          <w:r>
            <w:fldChar w:fldCharType="begin"/>
          </w:r>
          <w:r>
            <w:instrText xml:space="preserve"> PAGEREF _Toc2900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_Toc7282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g) </w:t>
          </w:r>
          <w:r>
            <w:rPr>
              <w:rFonts w:hint="eastAsia"/>
            </w:rPr>
            <w:t>发布后查看申购单状态</w:t>
          </w:r>
          <w:r>
            <w:tab/>
          </w:r>
          <w:r>
            <w:fldChar w:fldCharType="begin"/>
          </w:r>
          <w:r>
            <w:instrText xml:space="preserve"> PAGEREF _Toc7282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_Toc5238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4. </w:t>
          </w:r>
          <w:r>
            <w:rPr>
              <w:rFonts w:hint="eastAsia"/>
              <w:b/>
            </w:rPr>
            <w:t>初选管理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_Toc5238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_Toc15431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初选管理功能简介</w:t>
          </w:r>
          <w:r>
            <w:tab/>
          </w:r>
          <w:r>
            <w:fldChar w:fldCharType="begin"/>
          </w:r>
          <w:r>
            <w:instrText xml:space="preserve"> PAGEREF _Toc15431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_Toc8045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查询初选管理申购单</w:t>
          </w:r>
          <w:r>
            <w:tab/>
          </w:r>
          <w:r>
            <w:fldChar w:fldCharType="begin"/>
          </w:r>
          <w:r>
            <w:instrText xml:space="preserve"> PAGEREF _Toc8045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_Toc1950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查看初选管理详情</w:t>
          </w:r>
          <w:r>
            <w:tab/>
          </w:r>
          <w:r>
            <w:fldChar w:fldCharType="begin"/>
          </w:r>
          <w:r>
            <w:instrText xml:space="preserve"> PAGEREF _Toc1950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_Toc30160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初选管理建议处理原则</w:t>
          </w:r>
          <w:r>
            <w:tab/>
          </w:r>
          <w:r>
            <w:fldChar w:fldCharType="begin"/>
          </w:r>
          <w:r>
            <w:instrText xml:space="preserve"> PAGEREF _Toc30160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_Toc25560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5. </w:t>
          </w:r>
          <w:r>
            <w:rPr>
              <w:rFonts w:hint="eastAsia"/>
              <w:b/>
            </w:rPr>
            <w:t>结果审批</w:t>
          </w:r>
          <w:r>
            <w:rPr>
              <w:b/>
            </w:rPr>
            <w:t>/一审/二审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_Toc25560 \h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_Toc10522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结果审批简介</w:t>
          </w:r>
          <w:r>
            <w:tab/>
          </w:r>
          <w:r>
            <w:fldChar w:fldCharType="begin"/>
          </w:r>
          <w:r>
            <w:instrText xml:space="preserve"> PAGEREF _Toc10522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_Toc16308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查询结果审批申购单</w:t>
          </w:r>
          <w:r>
            <w:tab/>
          </w:r>
          <w:r>
            <w:fldChar w:fldCharType="begin"/>
          </w:r>
          <w:r>
            <w:instrText xml:space="preserve"> PAGEREF _Toc16308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_Toc19316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查看结果审批详情</w:t>
          </w:r>
          <w:r>
            <w:tab/>
          </w:r>
          <w:r>
            <w:fldChar w:fldCharType="begin"/>
          </w:r>
          <w:r>
            <w:instrText xml:space="preserve"> PAGEREF _Toc19316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_Toc29052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查看用户初选情况</w:t>
          </w:r>
          <w:r>
            <w:tab/>
          </w:r>
          <w:r>
            <w:fldChar w:fldCharType="begin"/>
          </w:r>
          <w:r>
            <w:instrText xml:space="preserve"> PAGEREF _Toc29052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_Toc15292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e) </w:t>
          </w:r>
          <w:r>
            <w:rPr>
              <w:rFonts w:hint="eastAsia"/>
            </w:rPr>
            <w:t>报价汇总</w:t>
          </w:r>
          <w:r>
            <w:tab/>
          </w:r>
          <w:r>
            <w:fldChar w:fldCharType="begin"/>
          </w:r>
          <w:r>
            <w:instrText xml:space="preserve"> PAGEREF _Toc15292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_Toc8038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f) </w:t>
          </w:r>
          <w:r>
            <w:rPr>
              <w:rFonts w:hint="eastAsia"/>
            </w:rPr>
            <w:t>查看企业信息</w:t>
          </w:r>
          <w:r>
            <w:tab/>
          </w:r>
          <w:r>
            <w:fldChar w:fldCharType="begin"/>
          </w:r>
          <w:r>
            <w:instrText xml:space="preserve"> PAGEREF _Toc8038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_Toc1753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g) </w:t>
          </w:r>
          <w:r>
            <w:rPr>
              <w:rFonts w:hint="eastAsia"/>
            </w:rPr>
            <w:t>发布成交结果</w:t>
          </w:r>
          <w:r>
            <w:tab/>
          </w:r>
          <w:r>
            <w:fldChar w:fldCharType="begin"/>
          </w:r>
          <w:r>
            <w:instrText xml:space="preserve"> PAGEREF _Toc1753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_Toc19487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h) </w:t>
          </w:r>
          <w:r>
            <w:rPr>
              <w:rFonts w:hint="eastAsia"/>
            </w:rPr>
            <w:t>转交二审</w:t>
          </w:r>
          <w:r>
            <w:tab/>
          </w:r>
          <w:r>
            <w:fldChar w:fldCharType="begin"/>
          </w:r>
          <w:r>
            <w:instrText xml:space="preserve"> PAGEREF _Toc19487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_Toc12445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i) </w:t>
          </w:r>
          <w:r>
            <w:rPr>
              <w:rFonts w:hint="eastAsia"/>
            </w:rPr>
            <w:t>审批驳回</w:t>
          </w:r>
          <w:r>
            <w:tab/>
          </w:r>
          <w:r>
            <w:fldChar w:fldCharType="begin"/>
          </w:r>
          <w:r>
            <w:instrText xml:space="preserve"> PAGEREF _Toc12445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_Toc12450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j) </w:t>
          </w:r>
          <w:r>
            <w:rPr>
              <w:rFonts w:hint="eastAsia"/>
            </w:rPr>
            <w:t>终止交易</w:t>
          </w:r>
          <w:r>
            <w:tab/>
          </w:r>
          <w:r>
            <w:fldChar w:fldCharType="begin"/>
          </w:r>
          <w:r>
            <w:instrText xml:space="preserve"> PAGEREF _Toc12450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_Toc2243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k) </w:t>
          </w:r>
          <w:r>
            <w:rPr>
              <w:rFonts w:hint="eastAsia"/>
            </w:rPr>
            <w:t>再成交审批</w:t>
          </w:r>
          <w:r>
            <w:tab/>
          </w:r>
          <w:r>
            <w:fldChar w:fldCharType="begin"/>
          </w:r>
          <w:r>
            <w:instrText xml:space="preserve"> PAGEREF _Toc2243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_Toc5571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6. </w:t>
          </w:r>
          <w:r>
            <w:rPr>
              <w:rFonts w:hint="eastAsia"/>
              <w:b/>
            </w:rPr>
            <w:t>用户管理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_Toc5571 \h </w:instrText>
          </w:r>
          <w:r>
            <w:rPr>
              <w:b/>
            </w:rPr>
            <w:fldChar w:fldCharType="separate"/>
          </w:r>
          <w:r>
            <w:rPr>
              <w:b/>
            </w:rPr>
            <w:t>16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_Toc5322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查询用户</w:t>
          </w:r>
          <w:r>
            <w:tab/>
          </w:r>
          <w:r>
            <w:fldChar w:fldCharType="begin"/>
          </w:r>
          <w:r>
            <w:instrText xml:space="preserve"> PAGEREF _Toc5322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_Toc13078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调整用户角色</w:t>
          </w:r>
          <w:r>
            <w:tab/>
          </w:r>
          <w:r>
            <w:fldChar w:fldCharType="begin"/>
          </w:r>
          <w:r>
            <w:instrText xml:space="preserve"> PAGEREF _Toc13078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_Toc7610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修改用户信息</w:t>
          </w:r>
          <w:r>
            <w:tab/>
          </w:r>
          <w:r>
            <w:fldChar w:fldCharType="begin"/>
          </w:r>
          <w:r>
            <w:instrText xml:space="preserve"> PAGEREF _Toc7610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_Toc1570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重置用户密码</w:t>
          </w:r>
          <w:r>
            <w:tab/>
          </w:r>
          <w:r>
            <w:fldChar w:fldCharType="begin"/>
          </w:r>
          <w:r>
            <w:instrText xml:space="preserve"> PAGEREF _Toc1570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_Toc10529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e) </w:t>
          </w:r>
          <w:r>
            <w:rPr>
              <w:rFonts w:hint="eastAsia"/>
            </w:rPr>
            <w:t>审核注册用户</w:t>
          </w:r>
          <w:r>
            <w:tab/>
          </w:r>
          <w:r>
            <w:fldChar w:fldCharType="begin"/>
          </w:r>
          <w:r>
            <w:instrText xml:space="preserve"> PAGEREF _Toc10529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_Toc27636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f) </w:t>
          </w:r>
          <w:r>
            <w:rPr>
              <w:rFonts w:hint="eastAsia"/>
            </w:rPr>
            <w:t>锁定用户及解除锁定</w:t>
          </w:r>
          <w:r>
            <w:tab/>
          </w:r>
          <w:r>
            <w:fldChar w:fldCharType="begin"/>
          </w:r>
          <w:r>
            <w:instrText xml:space="preserve"> PAGEREF _Toc27636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_Toc7867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g) </w:t>
          </w:r>
          <w:r>
            <w:rPr>
              <w:rFonts w:hint="eastAsia"/>
            </w:rPr>
            <w:t>删除用户</w:t>
          </w:r>
          <w:r>
            <w:tab/>
          </w:r>
          <w:r>
            <w:fldChar w:fldCharType="begin"/>
          </w:r>
          <w:r>
            <w:instrText xml:space="preserve"> PAGEREF _Toc7867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_Toc22676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7. </w:t>
          </w:r>
          <w:r>
            <w:rPr>
              <w:rFonts w:hint="eastAsia"/>
              <w:b/>
            </w:rPr>
            <w:t>综合查询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_Toc22676 \h </w:instrText>
          </w:r>
          <w:r>
            <w:rPr>
              <w:b/>
            </w:rPr>
            <w:fldChar w:fldCharType="separate"/>
          </w:r>
          <w:r>
            <w:rPr>
              <w:b/>
            </w:rPr>
            <w:t>20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_Toc10410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进入综合查询</w:t>
          </w:r>
          <w:r>
            <w:tab/>
          </w:r>
          <w:r>
            <w:fldChar w:fldCharType="begin"/>
          </w:r>
          <w:r>
            <w:instrText xml:space="preserve"> PAGEREF _Toc10410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_Toc8946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查询条件</w:t>
          </w:r>
          <w:r>
            <w:tab/>
          </w:r>
          <w:r>
            <w:fldChar w:fldCharType="begin"/>
          </w:r>
          <w:r>
            <w:instrText xml:space="preserve"> PAGEREF _Toc8946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_Toc2605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打印</w:t>
          </w:r>
          <w:r>
            <w:tab/>
          </w:r>
          <w:r>
            <w:fldChar w:fldCharType="begin"/>
          </w:r>
          <w:r>
            <w:instrText xml:space="preserve"> PAGEREF _Toc2605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_Toc20788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导出</w:t>
          </w:r>
          <w:r>
            <w:tab/>
          </w:r>
          <w:r>
            <w:fldChar w:fldCharType="begin"/>
          </w:r>
          <w:r>
            <w:instrText xml:space="preserve"> PAGEREF _Toc20788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_Toc18731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e) </w:t>
          </w:r>
          <w:r>
            <w:rPr>
              <w:rFonts w:hint="eastAsia"/>
            </w:rPr>
            <w:t>查看申购单详情</w:t>
          </w:r>
          <w:r>
            <w:tab/>
          </w:r>
          <w:r>
            <w:fldChar w:fldCharType="begin"/>
          </w:r>
          <w:r>
            <w:instrText xml:space="preserve"> PAGEREF _Toc18731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_Toc28822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f) </w:t>
          </w:r>
          <w:r>
            <w:rPr>
              <w:rFonts w:hint="eastAsia"/>
            </w:rPr>
            <w:t>打印申购单详情页面</w:t>
          </w:r>
          <w:r>
            <w:tab/>
          </w:r>
          <w:r>
            <w:fldChar w:fldCharType="begin"/>
          </w:r>
          <w:r>
            <w:instrText xml:space="preserve"> PAGEREF _Toc28822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_Toc10518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g) </w:t>
          </w:r>
          <w:r>
            <w:rPr>
              <w:rFonts w:hint="eastAsia"/>
            </w:rPr>
            <w:t>上传补充附件</w:t>
          </w:r>
          <w:r>
            <w:tab/>
          </w:r>
          <w:r>
            <w:fldChar w:fldCharType="begin"/>
          </w:r>
          <w:r>
            <w:instrText xml:space="preserve"> PAGEREF _Toc10518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instrText xml:space="preserve"> HYPERLINK \l _Toc7486 </w:instrText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separate"/>
          </w:r>
          <w:r>
            <w:rPr>
              <w:b/>
            </w:rPr>
            <w:t xml:space="preserve">8. </w:t>
          </w:r>
          <w:r>
            <w:rPr>
              <w:rFonts w:hint="eastAsia"/>
              <w:b/>
            </w:rPr>
            <w:t>终止审批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_Toc7486 \h </w:instrText>
          </w:r>
          <w:r>
            <w:rPr>
              <w:b/>
            </w:rPr>
            <w:fldChar w:fldCharType="separate"/>
          </w:r>
          <w:r>
            <w:rPr>
              <w:b/>
            </w:rPr>
            <w:t>25</w:t>
          </w:r>
          <w:r>
            <w:rPr>
              <w:b/>
            </w:rPr>
            <w:fldChar w:fldCharType="end"/>
          </w: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_Toc10742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a) </w:t>
          </w:r>
          <w:r>
            <w:rPr>
              <w:rFonts w:hint="eastAsia"/>
            </w:rPr>
            <w:t>终止审批功能简介</w:t>
          </w:r>
          <w:r>
            <w:tab/>
          </w:r>
          <w:r>
            <w:fldChar w:fldCharType="begin"/>
          </w:r>
          <w:r>
            <w:instrText xml:space="preserve"> PAGEREF _Toc10742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_Toc16816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b) </w:t>
          </w:r>
          <w:r>
            <w:rPr>
              <w:rFonts w:hint="eastAsia"/>
            </w:rPr>
            <w:t>查询终止审批申购单</w:t>
          </w:r>
          <w:r>
            <w:tab/>
          </w:r>
          <w:r>
            <w:fldChar w:fldCharType="begin"/>
          </w:r>
          <w:r>
            <w:instrText xml:space="preserve"> PAGEREF _Toc16816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_Toc5263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c) </w:t>
          </w:r>
          <w:r>
            <w:rPr>
              <w:rFonts w:hint="eastAsia"/>
            </w:rPr>
            <w:t>查看终止审批详情</w:t>
          </w:r>
          <w:r>
            <w:tab/>
          </w:r>
          <w:r>
            <w:fldChar w:fldCharType="begin"/>
          </w:r>
          <w:r>
            <w:instrText xml:space="preserve"> PAGEREF _Toc5263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_Toc4796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d) </w:t>
          </w:r>
          <w:r>
            <w:rPr>
              <w:rFonts w:hint="eastAsia"/>
            </w:rPr>
            <w:t>查看用户申请终止理由</w:t>
          </w:r>
          <w:r>
            <w:tab/>
          </w:r>
          <w:r>
            <w:fldChar w:fldCharType="begin"/>
          </w:r>
          <w:r>
            <w:instrText xml:space="preserve"> PAGEREF _Toc4796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_Toc9478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e) </w:t>
          </w:r>
          <w:r>
            <w:rPr>
              <w:rFonts w:hint="eastAsia"/>
            </w:rPr>
            <w:t>查看未申请终止的采购项</w:t>
          </w:r>
          <w:r>
            <w:tab/>
          </w:r>
          <w:r>
            <w:fldChar w:fldCharType="begin"/>
          </w:r>
          <w:r>
            <w:instrText xml:space="preserve"> PAGEREF _Toc9478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_Toc13352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f) </w:t>
          </w:r>
          <w:r>
            <w:rPr>
              <w:rFonts w:hint="eastAsia"/>
            </w:rPr>
            <w:t>终止审批通过</w:t>
          </w:r>
          <w:r>
            <w:tab/>
          </w:r>
          <w:r>
            <w:fldChar w:fldCharType="begin"/>
          </w:r>
          <w:r>
            <w:instrText xml:space="preserve"> PAGEREF _Toc13352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instrText xml:space="preserve"> HYPERLINK \l _Toc12150 </w:instrTex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separate"/>
          </w:r>
          <w:r>
            <w:t xml:space="preserve">g) </w:t>
          </w:r>
          <w:r>
            <w:rPr>
              <w:rFonts w:hint="eastAsia"/>
            </w:rPr>
            <w:t>终止审批驳回</w:t>
          </w:r>
          <w:r>
            <w:tab/>
          </w:r>
          <w:r>
            <w:fldChar w:fldCharType="begin"/>
          </w:r>
          <w:r>
            <w:instrText xml:space="preserve"> PAGEREF _Toc12150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fldChar w:fldCharType="end"/>
          </w:r>
        </w:p>
        <w:p>
          <w:pPr>
            <w:spacing w:line="460" w:lineRule="exact"/>
            <w:jc w:val="center"/>
            <w:rPr>
              <w:rFonts w:hint="eastAsia" w:ascii="宋体" w:hAnsi="宋体" w:cs="宋体"/>
              <w:bCs/>
              <w:sz w:val="28"/>
              <w:szCs w:val="28"/>
              <w:lang w:val="en-US" w:eastAsia="zh-CN"/>
            </w:rPr>
          </w:pPr>
          <w:r>
            <w:rPr>
              <w:rFonts w:hint="eastAsia" w:ascii="宋体" w:hAnsi="宋体" w:cs="宋体"/>
              <w:b/>
              <w:bCs/>
              <w:szCs w:val="28"/>
              <w:lang w:val="en-US" w:eastAsia="zh-CN"/>
            </w:rPr>
            <w:fldChar w:fldCharType="end"/>
          </w:r>
        </w:p>
      </w:sdtContent>
    </w:sdt>
    <w:p>
      <w:pPr>
        <w:pStyle w:val="14"/>
        <w:numPr>
          <w:ilvl w:val="-1"/>
          <w:numId w:val="0"/>
        </w:numPr>
        <w:ind w:left="0" w:firstLine="0"/>
        <w:jc w:val="center"/>
        <w:rPr>
          <w:rFonts w:hint="eastAsia"/>
          <w:lang w:val="en-US" w:eastAsia="zh-CN"/>
        </w:rPr>
      </w:pPr>
      <w:bookmarkStart w:id="0" w:name="_Toc19112"/>
      <w:r>
        <w:rPr>
          <w:rFonts w:hint="eastAsia"/>
          <w:lang w:val="en-US" w:eastAsia="zh-CN"/>
        </w:rPr>
        <w:t>竞价网简介</w:t>
      </w:r>
      <w:bookmarkEnd w:id="0"/>
    </w:p>
    <w:p>
      <w:pPr>
        <w:pStyle w:val="18"/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采星.竞价网(原“高校竞价网”)是专注为学校、科研机构、医院、企事业单位提供包括科教仪器设备、办公设备、实验试剂、耗材、服务、工程等采购业务在内的采购预算、采购计划、采购审批、采购执行(含网上单品牌竞价、多品牌竞价、竞价商场、电子招投标、智能招投标等)、电子合同管理、验收管理、资产管理、广义集中支付、诚信管理等在内的采购全过程管理解决方案。</w:t>
      </w:r>
    </w:p>
    <w:p>
      <w:pPr>
        <w:pStyle w:val="18"/>
        <w:bidi w:val="0"/>
        <w:ind w:left="0" w:leftChars="0" w:firstLine="420" w:firstLineChars="0"/>
      </w:pPr>
      <w:r>
        <w:rPr>
          <w:rFonts w:hint="eastAsia"/>
          <w:lang w:val="en-US" w:eastAsia="zh-CN"/>
        </w:rPr>
        <w:t>截止2024年12月，平台有包括北京大</w:t>
      </w:r>
      <w:bookmarkStart w:id="154" w:name="_GoBack"/>
      <w:bookmarkEnd w:id="154"/>
      <w:r>
        <w:rPr>
          <w:rFonts w:hint="eastAsia"/>
          <w:lang w:val="en-US" w:eastAsia="zh-CN"/>
        </w:rPr>
        <w:t>学、中南大学、东南大学等40多家985/211高校在内的360多家采购单位和151000多家供应商。</w:t>
      </w:r>
    </w:p>
    <w:p>
      <w:pPr>
        <w:pStyle w:val="14"/>
      </w:pPr>
      <w:r>
        <w:rPr>
          <w:rFonts w:hint="eastAsia"/>
          <w:lang w:val="en-US" w:eastAsia="zh-CN"/>
        </w:rPr>
        <w:t>流程图</w:t>
      </w:r>
    </w:p>
    <w:p>
      <w:pPr>
        <w:pStyle w:val="18"/>
        <w:ind w:left="0"/>
        <w:rPr>
          <w:rFonts w:hint="eastAsia"/>
        </w:rPr>
      </w:pPr>
      <w:r>
        <w:rPr>
          <w:rFonts w:hint="eastAsia"/>
        </w:rPr>
        <w:t>浏览器建议使用谷歌或360极速模式，不建议使用IE11以下版本的浏览器。</w:t>
      </w:r>
    </w:p>
    <w:p>
      <w:pPr>
        <w:pStyle w:val="18"/>
        <w:ind w:left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常</w:t>
      </w:r>
      <w:r>
        <w:rPr>
          <w:rFonts w:hint="eastAsia"/>
        </w:rPr>
        <w:t>规竞价采购流程图，仅供参考（部分采购单位有少量差异，但总体和下图类似）：</w:t>
      </w:r>
    </w:p>
    <w:p>
      <w:pPr>
        <w:pStyle w:val="18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0105" cy="2371090"/>
            <wp:effectExtent l="0" t="0" r="1714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</w:pPr>
    </w:p>
    <w:p>
      <w:pPr>
        <w:pStyle w:val="14"/>
      </w:pPr>
      <w:bookmarkStart w:id="1" w:name="_Toc30357"/>
      <w:bookmarkStart w:id="2" w:name="_Toc15059"/>
      <w:bookmarkStart w:id="3" w:name="_Toc28810"/>
      <w:r>
        <w:rPr>
          <w:rFonts w:hint="eastAsia"/>
        </w:rPr>
        <w:t>待处理事项</w:t>
      </w:r>
      <w:bookmarkEnd w:id="1"/>
      <w:bookmarkEnd w:id="2"/>
      <w:bookmarkEnd w:id="3"/>
    </w:p>
    <w:p>
      <w:pPr>
        <w:pStyle w:val="15"/>
        <w:ind w:left="630" w:leftChars="0" w:firstLineChars="0"/>
      </w:pPr>
      <w:bookmarkStart w:id="4" w:name="_Toc3730"/>
      <w:bookmarkStart w:id="5" w:name="_Toc2230"/>
      <w:bookmarkStart w:id="6" w:name="_Toc24781"/>
      <w:r>
        <w:rPr>
          <w:rFonts w:hint="eastAsia"/>
        </w:rPr>
        <w:t>待处理事项简介</w:t>
      </w:r>
      <w:bookmarkEnd w:id="4"/>
      <w:bookmarkEnd w:id="5"/>
      <w:bookmarkEnd w:id="6"/>
    </w:p>
    <w:p>
      <w:pPr>
        <w:pStyle w:val="18"/>
        <w:rPr>
          <w:rFonts w:hint="eastAsia"/>
        </w:rPr>
      </w:pPr>
      <w:r>
        <w:rPr>
          <w:rFonts w:hint="eastAsia"/>
        </w:rPr>
        <w:t>用户登录后会在</w:t>
      </w:r>
      <w:r>
        <w:rPr>
          <w:rFonts w:hint="eastAsia"/>
          <w:b/>
          <w:bCs/>
        </w:rPr>
        <w:t>首页</w:t>
      </w:r>
      <w:r>
        <w:rPr>
          <w:rFonts w:hint="eastAsia"/>
        </w:rPr>
        <w:t>显示</w:t>
      </w:r>
      <w:r>
        <w:rPr>
          <w:rFonts w:hint="eastAsia"/>
          <w:b/>
          <w:bCs/>
        </w:rPr>
        <w:t>待处理事项</w:t>
      </w:r>
      <w:r>
        <w:rPr>
          <w:rFonts w:hint="eastAsia"/>
        </w:rPr>
        <w:t>，图标右上角的数字则表示</w:t>
      </w:r>
      <w:r>
        <w:rPr>
          <w:rFonts w:hint="eastAsia"/>
          <w:b/>
          <w:bCs/>
        </w:rPr>
        <w:t>待办事项数</w:t>
      </w:r>
      <w:r>
        <w:rPr>
          <w:rFonts w:hint="eastAsia"/>
        </w:rPr>
        <w:t>，</w:t>
      </w:r>
      <w:r>
        <w:rPr>
          <w:rFonts w:hint="eastAsia"/>
          <w:b/>
          <w:bCs/>
        </w:rPr>
        <w:t>点击图标</w:t>
      </w:r>
      <w:r>
        <w:rPr>
          <w:rFonts w:hint="eastAsia"/>
        </w:rPr>
        <w:t>，则可进入对应的菜单去处理相关事项。</w:t>
      </w:r>
    </w:p>
    <w:p>
      <w:pPr>
        <w:pStyle w:val="18"/>
      </w:pPr>
      <w:r>
        <w:drawing>
          <wp:inline distT="0" distB="0" distL="114300" distR="114300">
            <wp:extent cx="4316730" cy="1273810"/>
            <wp:effectExtent l="0" t="0" r="7620" b="2540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15"/>
        <w:ind w:left="630" w:leftChars="0" w:firstLineChars="0"/>
      </w:pPr>
      <w:bookmarkStart w:id="7" w:name="_Toc19092"/>
      <w:bookmarkStart w:id="8" w:name="_Toc14092"/>
      <w:bookmarkStart w:id="9" w:name="_Toc10199"/>
      <w:r>
        <w:rPr>
          <w:rFonts w:hint="eastAsia"/>
        </w:rPr>
        <w:t>查看待处理事项</w:t>
      </w:r>
      <w:bookmarkEnd w:id="7"/>
      <w:bookmarkEnd w:id="8"/>
      <w:bookmarkEnd w:id="9"/>
    </w:p>
    <w:p>
      <w:pPr>
        <w:pStyle w:val="18"/>
      </w:pPr>
      <w:r>
        <w:rPr>
          <w:rFonts w:hint="eastAsia"/>
        </w:rPr>
        <w:t>用户登录后会自动转到首页，显示待处理事项；当用户进入其它菜单后，可以点击页面顶部栏的</w:t>
      </w:r>
      <w:r>
        <w:rPr>
          <w:rFonts w:hint="eastAsia"/>
          <w:b/>
          <w:bCs/>
        </w:rPr>
        <w:t>“首页”</w:t>
      </w:r>
      <w:r>
        <w:rPr>
          <w:rFonts w:hint="eastAsia"/>
        </w:rPr>
        <w:t>回到首页，以查看待处理事项。</w:t>
      </w:r>
    </w:p>
    <w:p>
      <w:pPr>
        <w:pStyle w:val="18"/>
        <w:rPr>
          <w:rFonts w:hint="eastAsia"/>
        </w:rPr>
      </w:pPr>
      <w:r>
        <w:drawing>
          <wp:inline distT="0" distB="0" distL="0" distR="0">
            <wp:extent cx="3747135" cy="911225"/>
            <wp:effectExtent l="0" t="0" r="5715" b="317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8591" cy="95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838" w:leftChars="399"/>
      </w:pPr>
    </w:p>
    <w:p>
      <w:pPr>
        <w:pStyle w:val="14"/>
      </w:pPr>
      <w:bookmarkStart w:id="10" w:name="_Toc10132"/>
      <w:bookmarkStart w:id="11" w:name="_Toc18516"/>
      <w:bookmarkStart w:id="12" w:name="_Toc20188"/>
      <w:r>
        <w:rPr>
          <w:rFonts w:hint="eastAsia"/>
        </w:rPr>
        <w:t>发布审批</w:t>
      </w:r>
      <w:bookmarkEnd w:id="10"/>
      <w:bookmarkEnd w:id="11"/>
      <w:bookmarkEnd w:id="12"/>
    </w:p>
    <w:p>
      <w:pPr>
        <w:pStyle w:val="15"/>
        <w:ind w:left="630" w:leftChars="0" w:firstLineChars="0"/>
      </w:pPr>
      <w:bookmarkStart w:id="13" w:name="_Toc31032"/>
      <w:bookmarkStart w:id="14" w:name="_Toc12799"/>
      <w:bookmarkStart w:id="15" w:name="_Toc18665"/>
      <w:r>
        <w:rPr>
          <w:rFonts w:hint="eastAsia"/>
        </w:rPr>
        <w:t>发布审批简介</w:t>
      </w:r>
      <w:bookmarkEnd w:id="13"/>
      <w:bookmarkEnd w:id="14"/>
      <w:bookmarkEnd w:id="15"/>
    </w:p>
    <w:p>
      <w:pPr>
        <w:pStyle w:val="18"/>
      </w:pPr>
      <w:r>
        <w:rPr>
          <w:rFonts w:hint="eastAsia"/>
        </w:rPr>
        <w:t>申购用户将申购单提交后，申购单会进入</w:t>
      </w:r>
      <w:r>
        <w:rPr>
          <w:rFonts w:hint="eastAsia"/>
          <w:b/>
          <w:bCs/>
        </w:rPr>
        <w:t>“发布审批”</w:t>
      </w:r>
      <w:r>
        <w:rPr>
          <w:rFonts w:hint="eastAsia"/>
        </w:rPr>
        <w:t>，由管理员审核后发布竞价公告，供应商才能开始竞价。如果申购单填写有误，则会被管理员驳回，并给出</w:t>
      </w:r>
      <w:r>
        <w:rPr>
          <w:rFonts w:hint="eastAsia"/>
          <w:b/>
          <w:bCs/>
        </w:rPr>
        <w:t>修改意见</w:t>
      </w:r>
      <w:r>
        <w:rPr>
          <w:rFonts w:hint="eastAsia"/>
        </w:rPr>
        <w:t>。</w:t>
      </w:r>
    </w:p>
    <w:p>
      <w:pPr>
        <w:pStyle w:val="15"/>
        <w:ind w:left="630" w:leftChars="0" w:firstLineChars="0"/>
      </w:pPr>
      <w:bookmarkStart w:id="16" w:name="_Toc20427"/>
      <w:bookmarkStart w:id="17" w:name="_Toc30394"/>
      <w:bookmarkStart w:id="18" w:name="_Toc6417"/>
      <w:r>
        <w:rPr>
          <w:rFonts w:hint="eastAsia"/>
        </w:rPr>
        <w:t>查询发布审批申购单</w:t>
      </w:r>
      <w:bookmarkEnd w:id="16"/>
      <w:bookmarkEnd w:id="17"/>
      <w:bookmarkEnd w:id="18"/>
    </w:p>
    <w:p>
      <w:pPr>
        <w:pStyle w:val="18"/>
      </w:pPr>
      <w:bookmarkStart w:id="19" w:name="_Hlk25334886"/>
      <w:r>
        <w:rPr>
          <w:rFonts w:hint="eastAsia"/>
        </w:rPr>
        <w:t>点击</w:t>
      </w:r>
      <w:r>
        <w:rPr>
          <w:rFonts w:hint="eastAsia"/>
          <w:b/>
          <w:bCs/>
        </w:rPr>
        <w:t>“申购管理”-“发布审批”</w:t>
      </w:r>
      <w:r>
        <w:rPr>
          <w:rFonts w:hint="eastAsia"/>
        </w:rPr>
        <w:t>，即可查看处于发布审批的申购单。</w:t>
      </w:r>
    </w:p>
    <w:p>
      <w:pPr>
        <w:pStyle w:val="18"/>
      </w:pPr>
      <w:r>
        <w:rPr>
          <w:rFonts w:hint="eastAsia"/>
        </w:rPr>
        <w:t>（如果部分采购单位的</w:t>
      </w:r>
      <w:r>
        <w:rPr>
          <w:rFonts w:hint="eastAsia"/>
          <w:b/>
          <w:bCs/>
        </w:rPr>
        <w:t>“发布审批”</w:t>
      </w:r>
      <w:r>
        <w:rPr>
          <w:rFonts w:hint="eastAsia"/>
        </w:rPr>
        <w:t>包含多个节点（如院系审核、发布审核等），则可以通过右侧栏</w:t>
      </w:r>
      <w:r>
        <w:rPr>
          <w:rFonts w:hint="eastAsia"/>
          <w:b/>
          <w:bCs/>
        </w:rPr>
        <w:t>查询条件上方的节点名称</w:t>
      </w:r>
      <w:r>
        <w:rPr>
          <w:rFonts w:hint="eastAsia"/>
        </w:rPr>
        <w:t>进行切换）</w:t>
      </w:r>
    </w:p>
    <w:bookmarkEnd w:id="19"/>
    <w:p>
      <w:pPr>
        <w:pStyle w:val="18"/>
      </w:pPr>
      <w:r>
        <w:drawing>
          <wp:inline distT="0" distB="0" distL="0" distR="0">
            <wp:extent cx="5274310" cy="13589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rFonts w:hint="eastAsia"/>
        </w:rPr>
      </w:pPr>
    </w:p>
    <w:p>
      <w:pPr>
        <w:pStyle w:val="15"/>
        <w:ind w:left="630" w:leftChars="0" w:firstLineChars="0"/>
      </w:pPr>
      <w:bookmarkStart w:id="20" w:name="_Toc20264"/>
      <w:bookmarkStart w:id="21" w:name="_Toc29042"/>
      <w:bookmarkStart w:id="22" w:name="_Toc14350"/>
      <w:r>
        <w:rPr>
          <w:rFonts w:hint="eastAsia"/>
        </w:rPr>
        <w:t>查看发布审批详情</w:t>
      </w:r>
      <w:bookmarkEnd w:id="20"/>
      <w:bookmarkEnd w:id="21"/>
      <w:bookmarkEnd w:id="22"/>
    </w:p>
    <w:p>
      <w:pPr>
        <w:pStyle w:val="18"/>
      </w:pPr>
      <w:bookmarkStart w:id="23" w:name="_Hlk25335843"/>
      <w:r>
        <w:rPr>
          <w:rFonts w:hint="eastAsia"/>
        </w:rPr>
        <w:t>在发布审批搜索页，点击申购单对应的</w:t>
      </w:r>
      <w:r>
        <w:rPr>
          <w:rFonts w:hint="eastAsia"/>
          <w:b/>
          <w:bCs/>
        </w:rPr>
        <w:t>“查看”</w:t>
      </w:r>
      <w:r>
        <w:rPr>
          <w:rFonts w:hint="eastAsia"/>
        </w:rPr>
        <w:t>按钮即可进入详情页。在发布审批详情页可以查看申购单信息、申购项信息、预算使用情况和操作日志。</w:t>
      </w:r>
    </w:p>
    <w:bookmarkEnd w:id="23"/>
    <w:p>
      <w:pPr>
        <w:pStyle w:val="18"/>
      </w:pPr>
      <w:r>
        <w:drawing>
          <wp:inline distT="0" distB="0" distL="0" distR="0">
            <wp:extent cx="5274310" cy="18078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rFonts w:hint="eastAsia"/>
        </w:rPr>
      </w:pPr>
    </w:p>
    <w:p>
      <w:pPr>
        <w:pStyle w:val="15"/>
        <w:ind w:left="630" w:leftChars="0" w:firstLineChars="0"/>
      </w:pPr>
      <w:bookmarkStart w:id="24" w:name="_Toc12331"/>
      <w:bookmarkStart w:id="25" w:name="_Toc30632"/>
      <w:bookmarkStart w:id="26" w:name="_Toc14601"/>
      <w:r>
        <w:rPr>
          <w:rFonts w:hint="eastAsia"/>
        </w:rPr>
        <w:t>审批通过</w:t>
      </w:r>
      <w:bookmarkEnd w:id="24"/>
      <w:bookmarkEnd w:id="25"/>
      <w:bookmarkEnd w:id="26"/>
    </w:p>
    <w:p>
      <w:pPr>
        <w:pStyle w:val="18"/>
      </w:pPr>
      <w:r>
        <w:rPr>
          <w:rFonts w:hint="eastAsia"/>
        </w:rPr>
        <w:t>如果申购单信息填写无误，符合采购单位发布竞价的要求，即可点击</w:t>
      </w:r>
      <w:r>
        <w:rPr>
          <w:rFonts w:hint="eastAsia"/>
          <w:b/>
          <w:bCs/>
        </w:rPr>
        <w:t>“通过”</w:t>
      </w:r>
      <w:r>
        <w:rPr>
          <w:rFonts w:hint="eastAsia"/>
        </w:rPr>
        <w:t>将申购单审批通过到下一节点，如果未填写审核意见，则会自动填充系统预设的意见。</w:t>
      </w:r>
    </w:p>
    <w:p>
      <w:pPr>
        <w:pStyle w:val="18"/>
      </w:pPr>
      <w:r>
        <w:rPr>
          <w:rFonts w:hint="eastAsia"/>
        </w:rPr>
        <w:t>如果申购单处于发布审批的最后一个节点（通过后即发布竞价），还需要指定</w:t>
      </w:r>
      <w:r>
        <w:rPr>
          <w:rFonts w:hint="eastAsia"/>
          <w:b/>
          <w:bCs/>
        </w:rPr>
        <w:t>截止时间/竞价结束时间</w:t>
      </w:r>
      <w:r>
        <w:rPr>
          <w:rFonts w:hint="eastAsia"/>
        </w:rPr>
        <w:t>（需要满足页面上显示的</w:t>
      </w:r>
      <w:r>
        <w:rPr>
          <w:rFonts w:hint="eastAsia"/>
          <w:b/>
          <w:bCs/>
        </w:rPr>
        <w:t>最少竞价时间</w:t>
      </w:r>
      <w:r>
        <w:rPr>
          <w:rFonts w:hint="eastAsia"/>
        </w:rPr>
        <w:t>）。</w:t>
      </w:r>
    </w:p>
    <w:p>
      <w:pPr>
        <w:pStyle w:val="18"/>
      </w:pPr>
      <w:r>
        <w:drawing>
          <wp:inline distT="0" distB="0" distL="0" distR="0">
            <wp:extent cx="5274310" cy="14097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27" w:name="_Toc17294"/>
      <w:bookmarkStart w:id="28" w:name="_Toc30400"/>
      <w:bookmarkStart w:id="29" w:name="_Toc16965"/>
      <w:r>
        <w:rPr>
          <w:rFonts w:hint="eastAsia"/>
        </w:rPr>
        <w:t>审批驳回</w:t>
      </w:r>
      <w:bookmarkEnd w:id="27"/>
      <w:bookmarkEnd w:id="28"/>
      <w:bookmarkEnd w:id="29"/>
    </w:p>
    <w:p>
      <w:pPr>
        <w:pStyle w:val="18"/>
      </w:pPr>
      <w:r>
        <w:rPr>
          <w:rFonts w:hint="eastAsia"/>
        </w:rPr>
        <w:t>如果申购单信息填写有误，则可</w:t>
      </w:r>
      <w:r>
        <w:rPr>
          <w:rFonts w:hint="eastAsia"/>
          <w:b/>
          <w:bCs/>
        </w:rPr>
        <w:t>填写驳回意见</w:t>
      </w:r>
      <w:r>
        <w:rPr>
          <w:rFonts w:hint="eastAsia"/>
        </w:rPr>
        <w:t>（方便申购用户根据此意见进行修改），点击</w:t>
      </w:r>
      <w:r>
        <w:rPr>
          <w:rFonts w:hint="eastAsia"/>
          <w:b/>
          <w:bCs/>
        </w:rPr>
        <w:t>“驳回”</w:t>
      </w:r>
      <w:r>
        <w:rPr>
          <w:rFonts w:hint="eastAsia"/>
        </w:rPr>
        <w:t>将申购单驳回给用户进行修改，</w:t>
      </w:r>
    </w:p>
    <w:p>
      <w:pPr>
        <w:pStyle w:val="18"/>
      </w:pPr>
      <w:r>
        <w:drawing>
          <wp:inline distT="0" distB="0" distL="0" distR="0">
            <wp:extent cx="5274310" cy="15494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rFonts w:hint="eastAsia"/>
        </w:rPr>
      </w:pPr>
    </w:p>
    <w:p>
      <w:pPr>
        <w:pStyle w:val="15"/>
        <w:ind w:left="630" w:leftChars="0" w:firstLineChars="0"/>
      </w:pPr>
      <w:bookmarkStart w:id="30" w:name="_Toc19414"/>
      <w:bookmarkStart w:id="31" w:name="_Toc18848"/>
      <w:bookmarkStart w:id="32" w:name="_Toc2900"/>
      <w:r>
        <w:rPr>
          <w:rFonts w:hint="eastAsia"/>
        </w:rPr>
        <w:t>终止交易</w:t>
      </w:r>
      <w:bookmarkEnd w:id="30"/>
      <w:bookmarkEnd w:id="31"/>
      <w:bookmarkEnd w:id="32"/>
    </w:p>
    <w:p>
      <w:pPr>
        <w:pStyle w:val="18"/>
      </w:pPr>
      <w:r>
        <w:rPr>
          <w:rFonts w:hint="eastAsia"/>
        </w:rPr>
        <w:t>如果</w:t>
      </w:r>
      <w:r>
        <w:rPr>
          <w:rFonts w:hint="eastAsia"/>
          <w:b/>
          <w:bCs/>
        </w:rPr>
        <w:t>整个申购单</w:t>
      </w:r>
      <w:r>
        <w:rPr>
          <w:rFonts w:hint="eastAsia"/>
        </w:rPr>
        <w:t>或者申购单中的</w:t>
      </w:r>
      <w:r>
        <w:rPr>
          <w:rFonts w:hint="eastAsia"/>
          <w:b/>
          <w:bCs/>
        </w:rPr>
        <w:t>部分采购项</w:t>
      </w:r>
      <w:r>
        <w:rPr>
          <w:rFonts w:hint="eastAsia"/>
        </w:rPr>
        <w:t>不再需要采购，则可</w:t>
      </w:r>
      <w:r>
        <w:rPr>
          <w:rFonts w:hint="eastAsia"/>
          <w:b/>
          <w:bCs/>
        </w:rPr>
        <w:t>整单终止</w:t>
      </w:r>
      <w:r>
        <w:rPr>
          <w:rFonts w:hint="eastAsia"/>
        </w:rPr>
        <w:t>或者按</w:t>
      </w:r>
      <w:r>
        <w:rPr>
          <w:rFonts w:hint="eastAsia"/>
          <w:b/>
          <w:bCs/>
        </w:rPr>
        <w:t>采购项终止</w:t>
      </w:r>
      <w:r>
        <w:rPr>
          <w:rFonts w:hint="eastAsia"/>
        </w:rPr>
        <w:t>。</w:t>
      </w:r>
    </w:p>
    <w:p>
      <w:pPr>
        <w:pStyle w:val="18"/>
        <w:numPr>
          <w:ilvl w:val="3"/>
          <w:numId w:val="1"/>
        </w:numPr>
        <w:rPr>
          <w:b/>
          <w:bCs/>
        </w:rPr>
      </w:pPr>
      <w:r>
        <w:rPr>
          <w:rFonts w:hint="eastAsia"/>
          <w:b/>
          <w:bCs/>
        </w:rPr>
        <w:t>整单终止</w:t>
      </w:r>
    </w:p>
    <w:p>
      <w:pPr>
        <w:pStyle w:val="18"/>
        <w:numPr>
          <w:ilvl w:val="4"/>
          <w:numId w:val="1"/>
        </w:numPr>
      </w:pPr>
      <w:r>
        <w:rPr>
          <w:rFonts w:hint="eastAsia"/>
        </w:rPr>
        <w:t>点击右下角的</w:t>
      </w:r>
      <w:r>
        <w:rPr>
          <w:rFonts w:hint="eastAsia"/>
          <w:b/>
          <w:bCs/>
        </w:rPr>
        <w:t>“终止”</w:t>
      </w:r>
      <w:r>
        <w:rPr>
          <w:rFonts w:hint="eastAsia"/>
        </w:rPr>
        <w:t>按钮，在弹出的对话框中填写终止理由，点击</w:t>
      </w:r>
      <w:r>
        <w:rPr>
          <w:rFonts w:hint="eastAsia"/>
          <w:b/>
          <w:bCs/>
        </w:rPr>
        <w:t>“确定”</w:t>
      </w:r>
      <w:r>
        <w:rPr>
          <w:rFonts w:hint="eastAsia"/>
        </w:rPr>
        <w:t>即可对整个申购单进行终止。</w:t>
      </w:r>
    </w:p>
    <w:p>
      <w:pPr>
        <w:pStyle w:val="18"/>
        <w:ind w:left="2100"/>
      </w:pPr>
      <w:r>
        <w:drawing>
          <wp:inline distT="0" distB="0" distL="0" distR="0">
            <wp:extent cx="5274310" cy="136334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2100"/>
      </w:pPr>
      <w:r>
        <w:drawing>
          <wp:inline distT="0" distB="0" distL="0" distR="0">
            <wp:extent cx="3730625" cy="2341880"/>
            <wp:effectExtent l="0" t="0" r="3175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rcRect r="1532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3852040" cy="2418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  <w:rPr>
          <w:b/>
          <w:bCs/>
        </w:rPr>
      </w:pPr>
      <w:r>
        <w:rPr>
          <w:rFonts w:hint="eastAsia"/>
          <w:b/>
          <w:bCs/>
        </w:rPr>
        <w:t>按采购项终止</w:t>
      </w:r>
    </w:p>
    <w:p>
      <w:pPr>
        <w:pStyle w:val="18"/>
        <w:ind w:left="1620"/>
      </w:pPr>
      <w:r>
        <w:rPr>
          <w:rFonts w:hint="eastAsia"/>
        </w:rPr>
        <w:t>点击采购项对应的</w:t>
      </w:r>
      <w:r>
        <w:rPr>
          <w:rFonts w:hint="eastAsia"/>
          <w:b/>
          <w:bCs/>
        </w:rPr>
        <w:t>“终止交易”</w:t>
      </w:r>
      <w:r>
        <w:rPr>
          <w:rFonts w:hint="eastAsia"/>
        </w:rPr>
        <w:t>按钮，在弹出的对话框中填写终止理由，点击</w:t>
      </w:r>
      <w:r>
        <w:rPr>
          <w:rFonts w:hint="eastAsia"/>
          <w:b/>
          <w:bCs/>
        </w:rPr>
        <w:t>“确定”</w:t>
      </w:r>
      <w:r>
        <w:rPr>
          <w:rFonts w:hint="eastAsia"/>
        </w:rPr>
        <w:t>即可对该采购项进行单项终止。</w:t>
      </w:r>
    </w:p>
    <w:p>
      <w:pPr>
        <w:pStyle w:val="18"/>
        <w:ind w:left="1620"/>
      </w:pPr>
      <w:r>
        <w:drawing>
          <wp:inline distT="0" distB="0" distL="0" distR="0">
            <wp:extent cx="5274310" cy="21672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33" w:name="_Toc7282"/>
      <w:bookmarkStart w:id="34" w:name="_Toc13226"/>
      <w:bookmarkStart w:id="35" w:name="_Toc24833"/>
      <w:r>
        <w:rPr>
          <w:rFonts w:hint="eastAsia"/>
        </w:rPr>
        <w:t>发布后查看申购单状态</w:t>
      </w:r>
      <w:bookmarkEnd w:id="33"/>
      <w:bookmarkEnd w:id="34"/>
      <w:bookmarkEnd w:id="35"/>
    </w:p>
    <w:p>
      <w:pPr>
        <w:pStyle w:val="18"/>
      </w:pPr>
      <w:r>
        <w:rPr>
          <w:rFonts w:hint="eastAsia"/>
        </w:rPr>
        <w:t>申购单发布竞价后，管理员可以在</w:t>
      </w:r>
      <w:r>
        <w:rPr>
          <w:rFonts w:hint="eastAsia"/>
          <w:b/>
          <w:bCs/>
        </w:rPr>
        <w:t>“申购管理”-“综合查询”</w:t>
      </w:r>
      <w:r>
        <w:rPr>
          <w:rFonts w:hint="eastAsia"/>
        </w:rPr>
        <w:t>中查询到该申购单的信息，如当前节点（竞价中）、竞价数、阅读数等。</w:t>
      </w:r>
    </w:p>
    <w:p>
      <w:pPr>
        <w:pStyle w:val="18"/>
      </w:pPr>
      <w:r>
        <w:drawing>
          <wp:inline distT="0" distB="0" distL="0" distR="0">
            <wp:extent cx="5274310" cy="19513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bookmarkStart w:id="36" w:name="_Toc5238"/>
      <w:bookmarkStart w:id="37" w:name="_Toc30573"/>
      <w:bookmarkStart w:id="38" w:name="_Toc5163"/>
      <w:r>
        <w:rPr>
          <w:rFonts w:hint="eastAsia"/>
        </w:rPr>
        <w:t>初选管理</w:t>
      </w:r>
      <w:bookmarkEnd w:id="36"/>
      <w:bookmarkEnd w:id="37"/>
      <w:bookmarkEnd w:id="38"/>
    </w:p>
    <w:p>
      <w:pPr>
        <w:pStyle w:val="15"/>
        <w:ind w:left="630" w:leftChars="0" w:firstLineChars="0"/>
      </w:pPr>
      <w:bookmarkStart w:id="39" w:name="_Toc15431"/>
      <w:bookmarkStart w:id="40" w:name="_Toc31228"/>
      <w:bookmarkStart w:id="41" w:name="_Toc14540"/>
      <w:r>
        <w:rPr>
          <w:rFonts w:hint="eastAsia"/>
        </w:rPr>
        <w:t>初选管理功能简介</w:t>
      </w:r>
      <w:bookmarkEnd w:id="39"/>
      <w:bookmarkEnd w:id="40"/>
      <w:bookmarkEnd w:id="41"/>
    </w:p>
    <w:p>
      <w:pPr>
        <w:pStyle w:val="18"/>
      </w:pPr>
      <w:r>
        <w:rPr>
          <w:rFonts w:hint="eastAsia"/>
        </w:rPr>
        <w:t>到达申购单指定的竞价截止时间，结束竞价后，系统会根据供应商的竞价情况进行处理：</w:t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如果整个申购单参与竞价的</w:t>
      </w:r>
      <w:r>
        <w:rPr>
          <w:rFonts w:hint="eastAsia"/>
          <w:b/>
          <w:bCs/>
        </w:rPr>
        <w:t>供应商数量太少</w:t>
      </w:r>
      <w:r>
        <w:rPr>
          <w:rFonts w:hint="eastAsia"/>
        </w:rPr>
        <w:t>（默认为少于3家），或者有</w:t>
      </w:r>
      <w:r>
        <w:rPr>
          <w:rFonts w:hint="eastAsia"/>
          <w:b/>
          <w:bCs/>
        </w:rPr>
        <w:t>部分采购项无人报价</w:t>
      </w:r>
      <w:r>
        <w:rPr>
          <w:rFonts w:hint="eastAsia"/>
        </w:rPr>
        <w:t>，则申购单会被转到</w:t>
      </w:r>
      <w:r>
        <w:rPr>
          <w:rFonts w:hint="eastAsia"/>
          <w:b/>
          <w:bCs/>
        </w:rPr>
        <w:t>“初选管理”</w:t>
      </w:r>
      <w:r>
        <w:rPr>
          <w:rFonts w:hint="eastAsia"/>
        </w:rPr>
        <w:t>，由管理员对申购单进行处理（</w:t>
      </w:r>
      <w:r>
        <w:rPr>
          <w:rFonts w:hint="eastAsia"/>
          <w:b/>
          <w:bCs/>
        </w:rPr>
        <w:t>延长竞价、转用户初选、转补充报价、终止交易</w:t>
      </w:r>
      <w:r>
        <w:rPr>
          <w:rFonts w:hint="eastAsia"/>
        </w:rPr>
        <w:t>）。</w:t>
      </w:r>
    </w:p>
    <w:p>
      <w:pPr>
        <w:pStyle w:val="18"/>
        <w:numPr>
          <w:ilvl w:val="3"/>
          <w:numId w:val="1"/>
        </w:numPr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r>
        <w:rPr>
          <w:rFonts w:hint="eastAsia"/>
        </w:rPr>
        <w:t>当申购单竞价</w:t>
      </w:r>
      <w:r>
        <w:rPr>
          <w:rFonts w:hint="eastAsia"/>
          <w:b/>
          <w:bCs/>
        </w:rPr>
        <w:t>供应商数满足</w:t>
      </w:r>
      <w:r>
        <w:rPr>
          <w:rFonts w:hint="eastAsia"/>
        </w:rPr>
        <w:t>（默认为大于等于3家），且采购单位设置了自动转用户初选，则申购单会直接转到</w:t>
      </w:r>
      <w:r>
        <w:rPr>
          <w:rFonts w:hint="eastAsia"/>
          <w:b/>
          <w:bCs/>
        </w:rPr>
        <w:t>“用户初选”</w:t>
      </w:r>
      <w:r>
        <w:rPr>
          <w:rFonts w:hint="eastAsia"/>
        </w:rPr>
        <w:t>，由用户指定初选成交商。</w:t>
      </w:r>
    </w:p>
    <w:p>
      <w:pPr>
        <w:pStyle w:val="15"/>
        <w:ind w:left="630" w:leftChars="0" w:firstLineChars="0"/>
      </w:pPr>
      <w:bookmarkStart w:id="42" w:name="_Toc18688"/>
      <w:bookmarkStart w:id="43" w:name="_Toc8045"/>
      <w:bookmarkStart w:id="44" w:name="_Toc4981"/>
      <w:r>
        <w:rPr>
          <w:rFonts w:hint="eastAsia"/>
        </w:rPr>
        <w:t>查询初选管理申购单</w:t>
      </w:r>
      <w:bookmarkEnd w:id="42"/>
      <w:bookmarkEnd w:id="43"/>
      <w:bookmarkEnd w:id="44"/>
    </w:p>
    <w:p>
      <w:pPr>
        <w:pStyle w:val="18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“申购管理”-“初选管理”</w:t>
      </w:r>
      <w:r>
        <w:rPr>
          <w:rFonts w:hint="eastAsia"/>
        </w:rPr>
        <w:t>即可查处于初选管理的申购单。</w:t>
      </w:r>
    </w:p>
    <w:p>
      <w:pPr>
        <w:pStyle w:val="18"/>
      </w:pPr>
      <w:r>
        <w:drawing>
          <wp:inline distT="0" distB="0" distL="0" distR="0">
            <wp:extent cx="5274310" cy="26492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45" w:name="_Toc22333"/>
      <w:bookmarkStart w:id="46" w:name="_Toc24858"/>
      <w:bookmarkStart w:id="47" w:name="_Toc1950"/>
      <w:r>
        <w:rPr>
          <w:rFonts w:hint="eastAsia"/>
        </w:rPr>
        <w:t>查看初选管理详情</w:t>
      </w:r>
      <w:bookmarkEnd w:id="45"/>
      <w:bookmarkEnd w:id="46"/>
      <w:bookmarkEnd w:id="47"/>
    </w:p>
    <w:p>
      <w:pPr>
        <w:pStyle w:val="18"/>
      </w:pPr>
      <w:r>
        <w:rPr>
          <w:rFonts w:hint="eastAsia"/>
        </w:rPr>
        <w:t>在初选管理查询页</w:t>
      </w:r>
      <w:r>
        <w:rPr>
          <w:rFonts w:hint="eastAsia"/>
          <w:b/>
          <w:bCs/>
        </w:rPr>
        <w:t>点击申购单所在行</w:t>
      </w:r>
      <w:r>
        <w:rPr>
          <w:rFonts w:hint="eastAsia"/>
        </w:rPr>
        <w:t>，或者点击对应的</w:t>
      </w:r>
      <w:r>
        <w:rPr>
          <w:rFonts w:hint="eastAsia"/>
          <w:b/>
          <w:bCs/>
        </w:rPr>
        <w:t>“查看”</w:t>
      </w:r>
      <w:r>
        <w:rPr>
          <w:rFonts w:hint="eastAsia"/>
        </w:rPr>
        <w:t>按钮，即可查看申购单初选管理详情页面。</w:t>
      </w:r>
    </w:p>
    <w:p>
      <w:pPr>
        <w:pStyle w:val="18"/>
      </w:pPr>
      <w:r>
        <w:drawing>
          <wp:inline distT="0" distB="0" distL="0" distR="0">
            <wp:extent cx="5274310" cy="1560830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48" w:name="_Toc1178"/>
      <w:bookmarkStart w:id="49" w:name="_Toc29053"/>
      <w:bookmarkStart w:id="50" w:name="_Toc30160"/>
      <w:r>
        <w:rPr>
          <w:rFonts w:hint="eastAsia"/>
        </w:rPr>
        <w:t>初选管理建议处理原则</w:t>
      </w:r>
      <w:bookmarkEnd w:id="48"/>
      <w:bookmarkEnd w:id="49"/>
      <w:bookmarkEnd w:id="50"/>
    </w:p>
    <w:p>
      <w:pPr>
        <w:pStyle w:val="18"/>
      </w:pPr>
      <w:r>
        <w:rPr>
          <w:rFonts w:hint="eastAsia"/>
        </w:rPr>
        <w:t>管理员可以根据页面上显示的申购单</w:t>
      </w:r>
      <w:r>
        <w:rPr>
          <w:rFonts w:hint="eastAsia"/>
          <w:b/>
          <w:bCs/>
        </w:rPr>
        <w:t>竞价厂商数、最少竞价数（所有采购项的竞价数中的最小值）、采购项竞价数、满足预算供应商数量、阅读数（浏览数量）、延长竞价次数</w:t>
      </w:r>
      <w:r>
        <w:rPr>
          <w:rFonts w:hint="eastAsia"/>
        </w:rPr>
        <w:t>等指标进行综合判断：</w:t>
      </w:r>
    </w:p>
    <w:p>
      <w:pPr>
        <w:pStyle w:val="18"/>
      </w:pPr>
      <w:r>
        <w:drawing>
          <wp:inline distT="0" distB="0" distL="0" distR="0">
            <wp:extent cx="4681220" cy="1128395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8889" cy="113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drawing>
          <wp:inline distT="0" distB="0" distL="0" distR="0">
            <wp:extent cx="5274310" cy="82296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rcRect t="14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3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对于</w:t>
      </w:r>
      <w:r>
        <w:rPr>
          <w:rFonts w:hint="eastAsia"/>
          <w:b/>
          <w:bCs/>
        </w:rPr>
        <w:t>竞价时长足够长，阅读数较大</w:t>
      </w:r>
      <w:r>
        <w:rPr>
          <w:rFonts w:hint="eastAsia"/>
        </w:rPr>
        <w:t>，且</w:t>
      </w:r>
      <w:r>
        <w:rPr>
          <w:rFonts w:hint="eastAsia"/>
          <w:b/>
          <w:bCs/>
        </w:rPr>
        <w:t>有供应商报价</w:t>
      </w:r>
      <w:r>
        <w:rPr>
          <w:rFonts w:hint="eastAsia"/>
        </w:rPr>
        <w:t>的竞价单，可以转</w:t>
      </w:r>
      <w:r>
        <w:rPr>
          <w:rFonts w:hint="eastAsia"/>
          <w:b/>
          <w:bCs/>
        </w:rPr>
        <w:t>“用户初选”</w:t>
      </w:r>
      <w:r>
        <w:rPr>
          <w:rFonts w:hint="eastAsia"/>
        </w:rPr>
        <w:t>。</w:t>
      </w:r>
    </w:p>
    <w:p>
      <w:pPr>
        <w:pStyle w:val="18"/>
        <w:ind w:left="1620"/>
      </w:pPr>
      <w:r>
        <w:drawing>
          <wp:inline distT="0" distB="0" distL="0" distR="0">
            <wp:extent cx="5295900" cy="160274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4623" cy="16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t>对于</w:t>
      </w:r>
      <w:r>
        <w:rPr>
          <w:b/>
          <w:bCs/>
        </w:rPr>
        <w:t>竞价时长足够长，阅读数较大</w:t>
      </w:r>
      <w:r>
        <w:rPr>
          <w:rFonts w:hint="eastAsia"/>
        </w:rPr>
        <w:t>，</w:t>
      </w:r>
      <w:r>
        <w:t>但</w:t>
      </w:r>
      <w:r>
        <w:rPr>
          <w:b/>
          <w:bCs/>
        </w:rPr>
        <w:t>竞价数为0</w:t>
      </w:r>
      <w:r>
        <w:t>的竞价单，可以转</w:t>
      </w:r>
      <w:r>
        <w:rPr>
          <w:b/>
          <w:bCs/>
        </w:rPr>
        <w:t>“补充自报价”</w:t>
      </w:r>
      <w:r>
        <w:t>，申购用户</w:t>
      </w:r>
      <w:r>
        <w:rPr>
          <w:rFonts w:hint="eastAsia"/>
        </w:rPr>
        <w:t>补充</w:t>
      </w:r>
      <w:r>
        <w:t>填写自报价厂商</w:t>
      </w:r>
      <w:r>
        <w:rPr>
          <w:rFonts w:hint="eastAsia"/>
        </w:rPr>
        <w:t>提交后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系统会给自报价尝试发送账号密码的短信，需要供应商登录竞价网补充报价，提交报价后</w:t>
      </w:r>
      <w:r>
        <w:rPr>
          <w:rFonts w:hint="eastAsia"/>
        </w:rPr>
        <w:t>即转入</w:t>
      </w:r>
      <w:r>
        <w:rPr>
          <w:rFonts w:hint="eastAsia"/>
          <w:b/>
          <w:bCs/>
        </w:rPr>
        <w:t>“用户初选”</w:t>
      </w:r>
      <w:r>
        <w:rPr>
          <w:rFonts w:hint="eastAsia"/>
        </w:rPr>
        <w:t>。</w:t>
      </w:r>
    </w:p>
    <w:p>
      <w:pPr>
        <w:pStyle w:val="18"/>
        <w:ind w:left="1620"/>
      </w:pPr>
      <w:r>
        <w:rPr>
          <w:rFonts w:hint="eastAsia"/>
        </w:rPr>
        <w:t>（</w:t>
      </w:r>
      <w:r>
        <w:rPr>
          <w:rFonts w:hint="eastAsia"/>
          <w:b/>
          <w:bCs/>
        </w:rPr>
        <w:t>注意：只有符合上述条件的申购单才会出现“转补充报价”的按钮</w:t>
      </w:r>
      <w:r>
        <w:rPr>
          <w:rFonts w:hint="eastAsia"/>
        </w:rPr>
        <w:t>）</w:t>
      </w:r>
    </w:p>
    <w:p>
      <w:pPr>
        <w:pStyle w:val="18"/>
        <w:ind w:left="1620"/>
      </w:pPr>
      <w:r>
        <w:drawing>
          <wp:inline distT="0" distB="0" distL="0" distR="0">
            <wp:extent cx="5513070" cy="16478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4982" cy="16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t>对于</w:t>
      </w:r>
      <w:r>
        <w:rPr>
          <w:b/>
          <w:bCs/>
        </w:rPr>
        <w:t>竞价时长不够长或者阅读数、竞价数较小</w:t>
      </w:r>
      <w:r>
        <w:t>的申购单，做</w:t>
      </w:r>
      <w:r>
        <w:rPr>
          <w:b/>
          <w:bCs/>
        </w:rPr>
        <w:t>“延长竞价”</w:t>
      </w:r>
      <w:r>
        <w:t>处理（</w:t>
      </w:r>
      <w:r>
        <w:rPr>
          <w:b/>
          <w:bCs/>
        </w:rPr>
        <w:t>需填写“延长竞价时间”</w:t>
      </w:r>
      <w:r>
        <w:rPr>
          <w:rFonts w:hint="eastAsia"/>
          <w:b/>
          <w:bCs/>
        </w:rPr>
        <w:t>才能提交</w:t>
      </w:r>
      <w:r>
        <w:t>，即延长竞价后的截止时间），延长竞价后，供应商可以参与或者修改报价。</w:t>
      </w:r>
    </w:p>
    <w:p>
      <w:pPr>
        <w:pStyle w:val="18"/>
        <w:ind w:left="1620"/>
      </w:pPr>
      <w:r>
        <w:drawing>
          <wp:inline distT="0" distB="0" distL="0" distR="0">
            <wp:extent cx="4901565" cy="181864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275" cy="182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18"/>
        <w:numPr>
          <w:ilvl w:val="3"/>
          <w:numId w:val="1"/>
        </w:numPr>
      </w:pPr>
      <w:r>
        <w:t>如果申购单信息填写有误，可以点击</w:t>
      </w:r>
      <w:r>
        <w:rPr>
          <w:b/>
          <w:bCs/>
        </w:rPr>
        <w:t>“终止并重新竞价”</w:t>
      </w:r>
      <w:r>
        <w:t>，则</w:t>
      </w:r>
      <w:r>
        <w:rPr>
          <w:rFonts w:hint="eastAsia"/>
          <w:b/>
          <w:bCs/>
        </w:rPr>
        <w:t>该</w:t>
      </w:r>
      <w:r>
        <w:rPr>
          <w:b/>
          <w:bCs/>
        </w:rPr>
        <w:t>申购单会被终止</w:t>
      </w:r>
      <w:r>
        <w:t>，并在</w:t>
      </w:r>
      <w:r>
        <w:rPr>
          <w:b/>
          <w:bCs/>
        </w:rPr>
        <w:t>申购用户的草稿箱</w:t>
      </w:r>
      <w:r>
        <w:rPr>
          <w:rFonts w:hint="eastAsia"/>
        </w:rPr>
        <w:t>根据此申购单信息</w:t>
      </w:r>
      <w:r>
        <w:t>生成一条新的草稿</w:t>
      </w:r>
      <w:r>
        <w:rPr>
          <w:rFonts w:hint="eastAsia"/>
        </w:rPr>
        <w:t>，用户可以修改后再行提交到发布审批。</w:t>
      </w:r>
    </w:p>
    <w:p>
      <w:pPr>
        <w:pStyle w:val="18"/>
        <w:ind w:left="1620"/>
      </w:pPr>
      <w:r>
        <w:drawing>
          <wp:inline distT="0" distB="0" distL="0" distR="0">
            <wp:extent cx="5274310" cy="159766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t>如果不再需要采购该申购单，则可以点击</w:t>
      </w:r>
      <w:r>
        <w:rPr>
          <w:b/>
          <w:bCs/>
        </w:rPr>
        <w:t>“终止申购单</w:t>
      </w:r>
      <w:r>
        <w:t>”</w:t>
      </w:r>
      <w:r>
        <w:rPr>
          <w:rFonts w:hint="eastAsia"/>
        </w:rPr>
        <w:t>，在弹出的对话框中</w:t>
      </w:r>
      <w:r>
        <w:rPr>
          <w:rFonts w:hint="eastAsia"/>
          <w:b/>
          <w:bCs/>
        </w:rPr>
        <w:t>填写终止原因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点击</w:t>
      </w:r>
      <w:r>
        <w:rPr>
          <w:rFonts w:hint="eastAsia"/>
          <w:b/>
          <w:bCs/>
        </w:rPr>
        <w:t>“确定”</w:t>
      </w:r>
      <w:r>
        <w:rPr>
          <w:rFonts w:hint="eastAsia"/>
        </w:rPr>
        <w:t>后，即可终止该申购单。</w:t>
      </w:r>
    </w:p>
    <w:p>
      <w:pPr>
        <w:pStyle w:val="18"/>
        <w:ind w:left="1620"/>
      </w:pPr>
      <w:r>
        <w:drawing>
          <wp:inline distT="0" distB="0" distL="0" distR="0">
            <wp:extent cx="5274310" cy="1618615"/>
            <wp:effectExtent l="0" t="0" r="254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bookmarkStart w:id="51" w:name="_Toc25560"/>
      <w:bookmarkStart w:id="52" w:name="_Toc24010"/>
      <w:bookmarkStart w:id="53" w:name="_Toc22137"/>
      <w:r>
        <w:rPr>
          <w:rFonts w:hint="eastAsia"/>
        </w:rPr>
        <w:t>结果审批</w:t>
      </w:r>
      <w:r>
        <w:t>/一审/二审</w:t>
      </w:r>
      <w:bookmarkEnd w:id="51"/>
      <w:bookmarkEnd w:id="52"/>
      <w:bookmarkEnd w:id="53"/>
    </w:p>
    <w:p>
      <w:pPr>
        <w:pStyle w:val="15"/>
        <w:ind w:left="630" w:leftChars="0" w:firstLineChars="0"/>
      </w:pPr>
      <w:bookmarkStart w:id="54" w:name="_Toc27749"/>
      <w:bookmarkStart w:id="55" w:name="_Toc10522"/>
      <w:bookmarkStart w:id="56" w:name="_Toc25651"/>
      <w:r>
        <w:rPr>
          <w:rFonts w:hint="eastAsia"/>
        </w:rPr>
        <w:t>结果审批简介</w:t>
      </w:r>
      <w:bookmarkEnd w:id="54"/>
      <w:bookmarkEnd w:id="55"/>
      <w:bookmarkEnd w:id="56"/>
    </w:p>
    <w:p>
      <w:pPr>
        <w:pStyle w:val="18"/>
      </w:pPr>
      <w:r>
        <w:rPr>
          <w:rFonts w:hint="eastAsia"/>
        </w:rPr>
        <w:t>申购单由</w:t>
      </w:r>
      <w:r>
        <w:rPr>
          <w:rFonts w:hint="eastAsia"/>
          <w:b/>
          <w:bCs/>
        </w:rPr>
        <w:t>用户初选</w:t>
      </w:r>
      <w:r>
        <w:rPr>
          <w:rFonts w:hint="eastAsia"/>
        </w:rPr>
        <w:t>提交后，即进入</w:t>
      </w:r>
      <w:r>
        <w:rPr>
          <w:rFonts w:hint="eastAsia"/>
          <w:b/>
          <w:bCs/>
        </w:rPr>
        <w:t>结果审批</w:t>
      </w:r>
      <w:r>
        <w:rPr>
          <w:rFonts w:hint="eastAsia"/>
        </w:rPr>
        <w:t>。</w:t>
      </w:r>
    </w:p>
    <w:p>
      <w:pPr>
        <w:pStyle w:val="18"/>
      </w:pPr>
      <w:r>
        <w:rPr>
          <w:rFonts w:hint="eastAsia"/>
        </w:rPr>
        <w:t>如果申购单</w:t>
      </w:r>
      <w:r>
        <w:rPr>
          <w:rFonts w:hint="eastAsia"/>
          <w:b/>
          <w:bCs/>
        </w:rPr>
        <w:t>选择的供应商</w:t>
      </w:r>
      <w:r>
        <w:rPr>
          <w:rFonts w:hint="eastAsia"/>
        </w:rPr>
        <w:t>、填写的</w:t>
      </w:r>
      <w:r>
        <w:rPr>
          <w:rFonts w:hint="eastAsia"/>
          <w:b/>
          <w:bCs/>
        </w:rPr>
        <w:t>初选理由</w:t>
      </w:r>
      <w:r>
        <w:rPr>
          <w:rFonts w:hint="eastAsia"/>
        </w:rPr>
        <w:t>符合采购单位的相关规定，则管理员</w:t>
      </w:r>
      <w:r>
        <w:rPr>
          <w:rFonts w:hint="eastAsia"/>
          <w:lang w:val="en-US" w:eastAsia="zh-CN"/>
        </w:rPr>
        <w:t>可</w:t>
      </w:r>
      <w:r>
        <w:rPr>
          <w:rFonts w:hint="eastAsia"/>
          <w:b/>
          <w:bCs/>
        </w:rPr>
        <w:t>发布成交结果</w:t>
      </w:r>
      <w:r>
        <w:rPr>
          <w:rFonts w:hint="eastAsia"/>
        </w:rPr>
        <w:t>，申购单会转入</w:t>
      </w:r>
      <w:r>
        <w:rPr>
          <w:rFonts w:hint="eastAsia"/>
          <w:b/>
          <w:bCs/>
        </w:rPr>
        <w:t>供应商“发货”</w:t>
      </w:r>
      <w:r>
        <w:rPr>
          <w:rFonts w:hint="eastAsia"/>
        </w:rPr>
        <w:t>环节。</w:t>
      </w:r>
    </w:p>
    <w:p>
      <w:pPr>
        <w:pStyle w:val="18"/>
      </w:pPr>
      <w:r>
        <w:rPr>
          <w:rFonts w:hint="eastAsia"/>
        </w:rPr>
        <w:t>如果申购单</w:t>
      </w:r>
      <w:r>
        <w:rPr>
          <w:rFonts w:hint="eastAsia"/>
          <w:b/>
          <w:bCs/>
        </w:rPr>
        <w:t>所选供应商</w:t>
      </w:r>
      <w:r>
        <w:rPr>
          <w:rFonts w:hint="eastAsia"/>
        </w:rPr>
        <w:t>或者</w:t>
      </w:r>
      <w:r>
        <w:rPr>
          <w:rFonts w:hint="eastAsia"/>
          <w:b/>
          <w:bCs/>
        </w:rPr>
        <w:t>所填理由</w:t>
      </w:r>
      <w:r>
        <w:rPr>
          <w:rFonts w:hint="eastAsia"/>
        </w:rPr>
        <w:t>不合适，则管理员</w:t>
      </w:r>
      <w:r>
        <w:rPr>
          <w:rFonts w:hint="eastAsia"/>
          <w:lang w:val="en-US" w:eastAsia="zh-CN"/>
        </w:rPr>
        <w:t>应</w:t>
      </w:r>
      <w:r>
        <w:rPr>
          <w:rFonts w:hint="eastAsia"/>
          <w:b/>
          <w:bCs/>
        </w:rPr>
        <w:t>驳回</w:t>
      </w:r>
      <w:r>
        <w:rPr>
          <w:rFonts w:hint="eastAsia"/>
        </w:rPr>
        <w:t>，并给出</w:t>
      </w:r>
      <w:r>
        <w:rPr>
          <w:rFonts w:hint="eastAsia"/>
          <w:b/>
          <w:bCs/>
        </w:rPr>
        <w:t>审批意见</w:t>
      </w:r>
      <w:r>
        <w:rPr>
          <w:rFonts w:hint="eastAsia"/>
        </w:rPr>
        <w:t>，申购人将根据此意见进行修改后再行提交。</w:t>
      </w:r>
    </w:p>
    <w:p>
      <w:pPr>
        <w:pStyle w:val="15"/>
        <w:ind w:left="630" w:leftChars="0" w:firstLineChars="0"/>
      </w:pPr>
      <w:bookmarkStart w:id="57" w:name="_Toc17399"/>
      <w:bookmarkStart w:id="58" w:name="_Toc31670"/>
      <w:bookmarkStart w:id="59" w:name="_Toc16308"/>
      <w:r>
        <w:rPr>
          <w:rFonts w:hint="eastAsia"/>
        </w:rPr>
        <w:t>查询结果审批申购单</w:t>
      </w:r>
      <w:bookmarkEnd w:id="57"/>
      <w:bookmarkEnd w:id="58"/>
      <w:bookmarkEnd w:id="59"/>
    </w:p>
    <w:p>
      <w:pPr>
        <w:pStyle w:val="18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“申购管理”</w:t>
      </w:r>
      <w:r>
        <w:rPr>
          <w:b/>
          <w:bCs/>
        </w:rPr>
        <w:t>-“</w:t>
      </w:r>
      <w:r>
        <w:rPr>
          <w:rFonts w:hint="eastAsia"/>
          <w:b/>
          <w:bCs/>
        </w:rPr>
        <w:t>结果</w:t>
      </w:r>
      <w:r>
        <w:rPr>
          <w:b/>
          <w:bCs/>
        </w:rPr>
        <w:t>审批”</w:t>
      </w:r>
      <w:r>
        <w:t>，即可查看处于</w:t>
      </w:r>
      <w:r>
        <w:rPr>
          <w:rFonts w:hint="eastAsia"/>
        </w:rPr>
        <w:t>结果</w:t>
      </w:r>
      <w:r>
        <w:t>审批的申购单。</w:t>
      </w:r>
    </w:p>
    <w:p>
      <w:pPr>
        <w:pStyle w:val="18"/>
      </w:pPr>
      <w:r>
        <w:rPr>
          <w:rFonts w:hint="eastAsia"/>
        </w:rPr>
        <w:t>（如果采购单位的“结果审批”包含多个节点（如一审、二审等），则可以通过右侧栏</w:t>
      </w:r>
      <w:r>
        <w:rPr>
          <w:rFonts w:hint="eastAsia"/>
          <w:b/>
          <w:bCs/>
        </w:rPr>
        <w:t>查询条件上方的节点名称</w:t>
      </w:r>
      <w:r>
        <w:rPr>
          <w:rFonts w:hint="eastAsia"/>
        </w:rPr>
        <w:t>进行切换）</w:t>
      </w:r>
    </w:p>
    <w:p>
      <w:pPr>
        <w:pStyle w:val="18"/>
      </w:pPr>
      <w:r>
        <w:drawing>
          <wp:inline distT="0" distB="0" distL="0" distR="0">
            <wp:extent cx="5274310" cy="227076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60" w:name="_Toc16246"/>
      <w:bookmarkStart w:id="61" w:name="_Toc19316"/>
      <w:bookmarkStart w:id="62" w:name="_Toc3295"/>
      <w:r>
        <w:rPr>
          <w:rFonts w:hint="eastAsia"/>
        </w:rPr>
        <w:t>查看结果审批详情</w:t>
      </w:r>
      <w:bookmarkEnd w:id="60"/>
      <w:bookmarkEnd w:id="61"/>
      <w:bookmarkEnd w:id="62"/>
    </w:p>
    <w:p>
      <w:pPr>
        <w:pStyle w:val="18"/>
      </w:pPr>
      <w:r>
        <w:rPr>
          <w:rFonts w:hint="eastAsia"/>
        </w:rPr>
        <w:t>在结果审批搜索页，点击申购单对应的</w:t>
      </w:r>
      <w:r>
        <w:rPr>
          <w:rFonts w:hint="eastAsia"/>
          <w:b/>
          <w:bCs/>
        </w:rPr>
        <w:t>“查看”</w:t>
      </w:r>
      <w:r>
        <w:rPr>
          <w:rFonts w:hint="eastAsia"/>
        </w:rPr>
        <w:t>按钮即可进入详情页。在结果审批详情页可以查看申购单信息、申购项信息、</w:t>
      </w:r>
      <w:r>
        <w:rPr>
          <w:rFonts w:hint="eastAsia"/>
          <w:lang w:val="en-US" w:eastAsia="zh-CN"/>
        </w:rPr>
        <w:t>经费</w:t>
      </w:r>
      <w:r>
        <w:rPr>
          <w:rFonts w:hint="eastAsia"/>
        </w:rPr>
        <w:t>预算、</w:t>
      </w:r>
      <w:r>
        <w:rPr>
          <w:rFonts w:hint="eastAsia"/>
          <w:b/>
          <w:bCs/>
        </w:rPr>
        <w:t>用户初选情况</w:t>
      </w:r>
      <w:r>
        <w:rPr>
          <w:rFonts w:hint="eastAsia"/>
        </w:rPr>
        <w:t>和操作日志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。</w:t>
      </w:r>
    </w:p>
    <w:p>
      <w:pPr>
        <w:pStyle w:val="18"/>
      </w:pPr>
      <w:r>
        <w:drawing>
          <wp:inline distT="0" distB="0" distL="0" distR="0">
            <wp:extent cx="5274310" cy="1313815"/>
            <wp:effectExtent l="0" t="0" r="254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63" w:name="_Toc30204"/>
      <w:bookmarkStart w:id="64" w:name="_Toc12366"/>
      <w:bookmarkStart w:id="65" w:name="_Toc29052"/>
      <w:r>
        <w:rPr>
          <w:rFonts w:hint="eastAsia"/>
        </w:rPr>
        <w:t>查看用户初选情况</w:t>
      </w:r>
      <w:bookmarkEnd w:id="63"/>
      <w:bookmarkEnd w:id="64"/>
      <w:bookmarkEnd w:id="65"/>
    </w:p>
    <w:p>
      <w:pPr>
        <w:pStyle w:val="18"/>
      </w:pPr>
      <w:r>
        <w:rPr>
          <w:rFonts w:hint="eastAsia"/>
        </w:rPr>
        <w:t>初选选择的成交商会在左侧序号栏标注</w:t>
      </w:r>
      <w:r>
        <w:rPr>
          <w:rFonts w:hint="eastAsia"/>
          <w:b/>
          <w:bCs/>
        </w:rPr>
        <w:t>“初选”</w:t>
      </w:r>
      <w:r>
        <w:rPr>
          <w:rFonts w:hint="eastAsia"/>
        </w:rPr>
        <w:t>的角标。</w:t>
      </w:r>
    </w:p>
    <w:p>
      <w:pPr>
        <w:pStyle w:val="18"/>
      </w:pPr>
      <w:r>
        <w:drawing>
          <wp:inline distT="0" distB="0" distL="0" distR="0">
            <wp:extent cx="5274310" cy="1923415"/>
            <wp:effectExtent l="0" t="0" r="254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18"/>
      </w:pPr>
      <w:r>
        <w:rPr>
          <w:rFonts w:hint="eastAsia"/>
        </w:rPr>
        <w:t>在报价对应的“选择理由”可以看到用户填写的</w:t>
      </w:r>
      <w:r>
        <w:rPr>
          <w:rFonts w:hint="eastAsia"/>
          <w:b/>
          <w:bCs/>
        </w:rPr>
        <w:t>选中成交商</w:t>
      </w:r>
      <w:r>
        <w:rPr>
          <w:rFonts w:hint="eastAsia"/>
        </w:rPr>
        <w:t>的</w:t>
      </w:r>
      <w:r>
        <w:rPr>
          <w:rFonts w:hint="eastAsia"/>
          <w:b/>
          <w:bCs/>
        </w:rPr>
        <w:t>选择理由</w:t>
      </w:r>
      <w:r>
        <w:rPr>
          <w:rFonts w:hint="eastAsia"/>
        </w:rPr>
        <w:t>，以及</w:t>
      </w:r>
      <w:r>
        <w:rPr>
          <w:rFonts w:hint="eastAsia"/>
          <w:b/>
          <w:bCs/>
        </w:rPr>
        <w:t>报价低于选中成交商</w:t>
      </w:r>
      <w:r>
        <w:rPr>
          <w:rFonts w:hint="eastAsia"/>
        </w:rPr>
        <w:t>的</w:t>
      </w:r>
      <w:r>
        <w:rPr>
          <w:rFonts w:hint="eastAsia"/>
          <w:b/>
          <w:bCs/>
        </w:rPr>
        <w:t>不选理由</w:t>
      </w:r>
      <w:r>
        <w:rPr>
          <w:rFonts w:hint="eastAsia"/>
        </w:rPr>
        <w:t>。</w:t>
      </w:r>
    </w:p>
    <w:p>
      <w:pPr>
        <w:pStyle w:val="18"/>
      </w:pPr>
      <w:r>
        <w:drawing>
          <wp:inline distT="0" distB="0" distL="0" distR="0">
            <wp:extent cx="5274310" cy="1939290"/>
            <wp:effectExtent l="0" t="0" r="2540" b="381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66" w:name="_Toc14811"/>
      <w:bookmarkStart w:id="67" w:name="_Toc13805"/>
      <w:bookmarkStart w:id="68" w:name="_Toc15292"/>
      <w:r>
        <w:rPr>
          <w:rFonts w:hint="eastAsia"/>
        </w:rPr>
        <w:t>报价汇总</w:t>
      </w:r>
      <w:bookmarkEnd w:id="66"/>
      <w:bookmarkEnd w:id="67"/>
      <w:bookmarkEnd w:id="68"/>
    </w:p>
    <w:p>
      <w:pPr>
        <w:pStyle w:val="18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“报价汇总</w:t>
      </w:r>
      <w:r>
        <w:rPr>
          <w:rFonts w:hint="eastAsia"/>
        </w:rPr>
        <w:t>”，即可查看</w:t>
      </w:r>
      <w:r>
        <w:rPr>
          <w:rFonts w:hint="eastAsia"/>
          <w:b/>
          <w:bCs/>
        </w:rPr>
        <w:t>采购项</w:t>
      </w:r>
      <w:r>
        <w:rPr>
          <w:rFonts w:hint="eastAsia"/>
        </w:rPr>
        <w:t>和供应商报价</w:t>
      </w:r>
      <w:r>
        <w:rPr>
          <w:rFonts w:hint="eastAsia"/>
          <w:b/>
          <w:bCs/>
        </w:rPr>
        <w:t>单价</w:t>
      </w:r>
      <w:r>
        <w:rPr>
          <w:rFonts w:hint="eastAsia"/>
        </w:rPr>
        <w:t>的二维表格统计，从左到右按照供应商</w:t>
      </w:r>
      <w:r>
        <w:rPr>
          <w:rFonts w:hint="eastAsia"/>
          <w:b/>
          <w:bCs/>
        </w:rPr>
        <w:t>合计总价</w:t>
      </w:r>
      <w:r>
        <w:rPr>
          <w:rFonts w:hint="eastAsia"/>
        </w:rPr>
        <w:t>从低到高进行排列。</w:t>
      </w:r>
    </w:p>
    <w:p>
      <w:pPr>
        <w:pStyle w:val="18"/>
      </w:pPr>
      <w:r>
        <w:rPr>
          <w:rFonts w:hint="eastAsia"/>
        </w:rPr>
        <w:t>其中背景色为</w:t>
      </w:r>
      <w:r>
        <w:rPr>
          <w:rFonts w:hint="eastAsia"/>
          <w:b/>
          <w:bCs/>
        </w:rPr>
        <w:t>绿色</w:t>
      </w:r>
      <w:r>
        <w:rPr>
          <w:rFonts w:hint="eastAsia"/>
        </w:rPr>
        <w:t>的部分即为</w:t>
      </w:r>
      <w:r>
        <w:rPr>
          <w:rFonts w:hint="eastAsia"/>
          <w:b/>
          <w:bCs/>
        </w:rPr>
        <w:t>用户初选所选择</w:t>
      </w:r>
      <w:r>
        <w:rPr>
          <w:rFonts w:hint="eastAsia"/>
        </w:rPr>
        <w:t>的报价，而</w:t>
      </w:r>
      <w:r>
        <w:rPr>
          <w:rFonts w:hint="eastAsia"/>
          <w:b/>
          <w:bCs/>
        </w:rPr>
        <w:t>黄色</w:t>
      </w:r>
      <w:r>
        <w:rPr>
          <w:rFonts w:hint="eastAsia"/>
        </w:rPr>
        <w:t>色块标注的则是</w:t>
      </w:r>
      <w:r>
        <w:rPr>
          <w:rFonts w:hint="eastAsia"/>
          <w:b/>
          <w:bCs/>
        </w:rPr>
        <w:t>总价排名第一</w:t>
      </w:r>
      <w:r>
        <w:rPr>
          <w:rFonts w:hint="eastAsia"/>
        </w:rPr>
        <w:t>的供应商。</w:t>
      </w:r>
    </w:p>
    <w:p>
      <w:pPr>
        <w:pStyle w:val="18"/>
      </w:pPr>
      <w:r>
        <w:rPr>
          <w:rFonts w:hint="eastAsia"/>
          <w:b/>
          <w:bCs/>
        </w:rPr>
        <w:t>“合计”</w:t>
      </w:r>
      <w:r>
        <w:rPr>
          <w:rFonts w:hint="eastAsia"/>
        </w:rPr>
        <w:t>栏的</w:t>
      </w:r>
      <w:r>
        <w:rPr>
          <w:rFonts w:hint="eastAsia"/>
          <w:b/>
          <w:bCs/>
        </w:rPr>
        <w:t>“总价”</w:t>
      </w:r>
      <w:r>
        <w:rPr>
          <w:rFonts w:hint="eastAsia"/>
        </w:rPr>
        <w:t>为供应商在申购单下</w:t>
      </w:r>
      <w:r>
        <w:rPr>
          <w:rFonts w:hint="eastAsia"/>
          <w:b/>
          <w:bCs/>
        </w:rPr>
        <w:t>所有采购项报价总价的总和</w:t>
      </w:r>
      <w:r>
        <w:rPr>
          <w:rFonts w:hint="eastAsia"/>
        </w:rPr>
        <w:t>，按照价格从低到高进行排名，</w:t>
      </w:r>
      <w:r>
        <w:rPr>
          <w:rFonts w:hint="eastAsia"/>
          <w:b/>
          <w:bCs/>
        </w:rPr>
        <w:t>报价总和最低</w:t>
      </w:r>
      <w:r>
        <w:rPr>
          <w:rFonts w:hint="eastAsia"/>
        </w:rPr>
        <w:t>的供应商的总价</w:t>
      </w:r>
      <w:r>
        <w:rPr>
          <w:rFonts w:hint="eastAsia"/>
          <w:b/>
          <w:bCs/>
        </w:rPr>
        <w:t>排名第一（</w:t>
      </w:r>
      <w:r>
        <w:rPr>
          <w:rFonts w:hint="eastAsia"/>
        </w:rPr>
        <w:t>供应商未对申购单</w:t>
      </w:r>
      <w:r>
        <w:rPr>
          <w:rFonts w:hint="eastAsia"/>
          <w:b/>
          <w:bCs/>
        </w:rPr>
        <w:t>全部采购项</w:t>
      </w:r>
      <w:r>
        <w:rPr>
          <w:rFonts w:hint="eastAsia"/>
        </w:rPr>
        <w:t>进行报价，则</w:t>
      </w:r>
      <w:r>
        <w:rPr>
          <w:rFonts w:hint="eastAsia"/>
          <w:b/>
          <w:bCs/>
        </w:rPr>
        <w:t>不参与排名</w:t>
      </w:r>
      <w:r>
        <w:rPr>
          <w:rFonts w:hint="eastAsia"/>
        </w:rPr>
        <w:t>）。</w:t>
      </w:r>
    </w:p>
    <w:p>
      <w:pPr>
        <w:pStyle w:val="18"/>
      </w:pPr>
      <w:r>
        <w:drawing>
          <wp:inline distT="0" distB="0" distL="0" distR="0">
            <wp:extent cx="5274310" cy="278257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r>
        <w:br w:type="page"/>
      </w:r>
    </w:p>
    <w:p>
      <w:pPr>
        <w:pStyle w:val="15"/>
        <w:ind w:left="630" w:leftChars="0" w:firstLineChars="0"/>
      </w:pPr>
      <w:bookmarkStart w:id="69" w:name="_Toc8038"/>
      <w:bookmarkStart w:id="70" w:name="_Toc20617"/>
      <w:bookmarkStart w:id="71" w:name="_Toc14156"/>
      <w:r>
        <w:rPr>
          <w:rFonts w:hint="eastAsia"/>
        </w:rPr>
        <w:t>查看企业信息</w:t>
      </w:r>
      <w:bookmarkEnd w:id="69"/>
      <w:bookmarkEnd w:id="70"/>
      <w:bookmarkEnd w:id="71"/>
    </w:p>
    <w:p>
      <w:pPr>
        <w:pStyle w:val="18"/>
      </w:pPr>
      <w:r>
        <w:rPr>
          <w:rFonts w:hint="eastAsia"/>
        </w:rPr>
        <w:t>在用户选选页面点击供应商名称，即可弹出供应商信息页。</w:t>
      </w:r>
    </w:p>
    <w:p>
      <w:pPr>
        <w:pStyle w:val="18"/>
      </w:pPr>
      <w:r>
        <w:drawing>
          <wp:inline distT="0" distB="0" distL="0" distR="0">
            <wp:extent cx="5274310" cy="115062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rPr>
          <w:rFonts w:hint="eastAsia"/>
        </w:rPr>
        <w:t>在该页面可以查看供应商的基本信息、评价、诚信信息（拉黑数、违约数、弃标数等）、经营异常等信息。</w:t>
      </w:r>
    </w:p>
    <w:p>
      <w:pPr>
        <w:pStyle w:val="18"/>
      </w:pPr>
      <w:r>
        <w:drawing>
          <wp:inline distT="0" distB="0" distL="0" distR="0">
            <wp:extent cx="5274310" cy="296100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rPr>
          <w:rFonts w:hint="eastAsia"/>
        </w:rPr>
        <w:t>点击拉黑数、近一年违约数、近一年弃标数的</w:t>
      </w:r>
      <w:r>
        <w:rPr>
          <w:rFonts w:hint="eastAsia"/>
          <w:b/>
          <w:bCs/>
        </w:rPr>
        <w:t>数字</w:t>
      </w:r>
      <w:r>
        <w:rPr>
          <w:rFonts w:hint="eastAsia"/>
        </w:rPr>
        <w:t>，还可以查看对应的详情。比如点击近一年违约数后，可查看该企业近一年违约的申购单。</w:t>
      </w:r>
    </w:p>
    <w:p>
      <w:pPr>
        <w:pStyle w:val="18"/>
      </w:pPr>
      <w:r>
        <w:drawing>
          <wp:inline distT="0" distB="0" distL="0" distR="0">
            <wp:extent cx="5274310" cy="91440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drawing>
          <wp:inline distT="0" distB="0" distL="0" distR="0">
            <wp:extent cx="5274310" cy="175768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r>
        <w:br w:type="page"/>
      </w:r>
    </w:p>
    <w:p>
      <w:pPr>
        <w:pStyle w:val="15"/>
        <w:ind w:left="630" w:leftChars="0" w:firstLineChars="0"/>
      </w:pPr>
      <w:bookmarkStart w:id="72" w:name="_Toc1487"/>
      <w:bookmarkStart w:id="73" w:name="_Toc1753"/>
      <w:bookmarkStart w:id="74" w:name="_Toc27755"/>
      <w:r>
        <w:rPr>
          <w:rFonts w:hint="eastAsia"/>
        </w:rPr>
        <w:t>发布成交结果</w:t>
      </w:r>
      <w:bookmarkEnd w:id="72"/>
      <w:bookmarkEnd w:id="73"/>
      <w:bookmarkEnd w:id="74"/>
    </w:p>
    <w:p>
      <w:pPr>
        <w:pStyle w:val="18"/>
      </w:pPr>
      <w:r>
        <w:rPr>
          <w:rFonts w:hint="eastAsia"/>
        </w:rPr>
        <w:t>如果所选成交供应商、所填理由符合采购单位的规定，则可以点击</w:t>
      </w:r>
      <w:r>
        <w:rPr>
          <w:rFonts w:hint="eastAsia"/>
          <w:b/>
          <w:bCs/>
        </w:rPr>
        <w:t>“发布成交结果”</w:t>
      </w:r>
      <w:r>
        <w:rPr>
          <w:rFonts w:hint="eastAsia"/>
        </w:rPr>
        <w:t>（如未填写意见，则会自动填充系统预设的意见），申购单会转到供应商</w:t>
      </w:r>
      <w:r>
        <w:rPr>
          <w:rFonts w:hint="eastAsia"/>
          <w:b/>
          <w:bCs/>
        </w:rPr>
        <w:t>“发货”</w:t>
      </w:r>
      <w:r>
        <w:rPr>
          <w:rFonts w:hint="eastAsia"/>
        </w:rPr>
        <w:t>环节，选择成交的供应商会收到系统通知，双方可以开始协商发货事宜。</w:t>
      </w:r>
    </w:p>
    <w:p>
      <w:pPr>
        <w:pStyle w:val="18"/>
      </w:pPr>
      <w:r>
        <w:drawing>
          <wp:inline distT="0" distB="0" distL="114300" distR="114300">
            <wp:extent cx="5271135" cy="1036320"/>
            <wp:effectExtent l="0" t="0" r="571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75" w:name="_Toc4483"/>
      <w:bookmarkStart w:id="76" w:name="_Toc22907"/>
      <w:bookmarkStart w:id="77" w:name="_Toc19487"/>
      <w:r>
        <w:rPr>
          <w:rFonts w:hint="eastAsia"/>
        </w:rPr>
        <w:t>转交二审</w:t>
      </w:r>
      <w:bookmarkEnd w:id="75"/>
      <w:bookmarkEnd w:id="76"/>
      <w:bookmarkEnd w:id="77"/>
    </w:p>
    <w:p>
      <w:pPr>
        <w:pStyle w:val="18"/>
      </w:pPr>
      <w:r>
        <w:rPr>
          <w:rFonts w:hint="eastAsia"/>
        </w:rPr>
        <w:t>当前管理员无法决定是否发布成交结果时，可填写</w:t>
      </w:r>
      <w:r>
        <w:rPr>
          <w:rFonts w:hint="eastAsia"/>
          <w:b/>
          <w:bCs/>
        </w:rPr>
        <w:t>审核意见</w:t>
      </w:r>
      <w:r>
        <w:rPr>
          <w:rFonts w:hint="eastAsia"/>
        </w:rPr>
        <w:t>说明情况后，点击</w:t>
      </w:r>
      <w:r>
        <w:rPr>
          <w:rFonts w:hint="eastAsia"/>
          <w:b/>
          <w:bCs/>
        </w:rPr>
        <w:t>“转交二审”</w:t>
      </w:r>
      <w:r>
        <w:rPr>
          <w:rFonts w:hint="eastAsia"/>
        </w:rPr>
        <w:t>，则申购单会转交</w:t>
      </w:r>
      <w:r>
        <w:rPr>
          <w:rFonts w:hint="eastAsia"/>
          <w:b/>
          <w:bCs/>
        </w:rPr>
        <w:t>二审管理员</w:t>
      </w:r>
      <w:r>
        <w:rPr>
          <w:rFonts w:hint="eastAsia"/>
        </w:rPr>
        <w:t>进行审核。</w:t>
      </w:r>
    </w:p>
    <w:p>
      <w:pPr>
        <w:pStyle w:val="18"/>
      </w:pPr>
      <w:r>
        <w:rPr>
          <w:rFonts w:hint="eastAsia"/>
        </w:rPr>
        <w:t>注意：仅申购单处于</w:t>
      </w:r>
      <w:r>
        <w:rPr>
          <w:rFonts w:hint="eastAsia"/>
          <w:b/>
          <w:bCs/>
        </w:rPr>
        <w:t>“一审”</w:t>
      </w:r>
      <w:r>
        <w:rPr>
          <w:rFonts w:hint="eastAsia"/>
        </w:rPr>
        <w:t>时会显示此按钮。</w:t>
      </w:r>
    </w:p>
    <w:p>
      <w:pPr>
        <w:pStyle w:val="18"/>
      </w:pPr>
      <w:r>
        <w:drawing>
          <wp:inline distT="0" distB="0" distL="114300" distR="114300">
            <wp:extent cx="5261610" cy="831850"/>
            <wp:effectExtent l="0" t="0" r="152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78" w:name="_Toc12445"/>
      <w:bookmarkStart w:id="79" w:name="_Toc9648"/>
      <w:bookmarkStart w:id="80" w:name="_Toc17484"/>
      <w:r>
        <w:rPr>
          <w:rFonts w:hint="eastAsia"/>
        </w:rPr>
        <w:t>审批驳回</w:t>
      </w:r>
      <w:bookmarkEnd w:id="78"/>
      <w:bookmarkEnd w:id="79"/>
      <w:bookmarkEnd w:id="80"/>
    </w:p>
    <w:p>
      <w:pPr>
        <w:pStyle w:val="18"/>
      </w:pPr>
      <w:r>
        <w:rPr>
          <w:rFonts w:hint="eastAsia"/>
        </w:rPr>
        <w:t>如果所选成交供应商不符合采购单位的规定，或所填</w:t>
      </w:r>
      <w:r>
        <w:t>理由需要修改，管理员</w:t>
      </w:r>
      <w:r>
        <w:rPr>
          <w:rFonts w:hint="eastAsia"/>
        </w:rPr>
        <w:t>填写</w:t>
      </w:r>
      <w:r>
        <w:rPr>
          <w:rFonts w:hint="eastAsia"/>
          <w:b/>
          <w:bCs/>
        </w:rPr>
        <w:t>审核意见</w:t>
      </w:r>
      <w:r>
        <w:rPr>
          <w:rFonts w:hint="eastAsia"/>
        </w:rPr>
        <w:t>后</w:t>
      </w:r>
      <w:r>
        <w:rPr>
          <w:b/>
          <w:bCs/>
        </w:rPr>
        <w:t>驳回</w:t>
      </w:r>
      <w:r>
        <w:t>该申购单，该申购单会重新回到</w:t>
      </w:r>
      <w:r>
        <w:rPr>
          <w:b/>
          <w:bCs/>
        </w:rPr>
        <w:t>“用户初选”</w:t>
      </w:r>
      <w:r>
        <w:rPr>
          <w:rFonts w:hint="eastAsia"/>
        </w:rPr>
        <w:t>，申购用户根据审批意见</w:t>
      </w:r>
    </w:p>
    <w:p>
      <w:pPr>
        <w:pStyle w:val="18"/>
      </w:pPr>
      <w:r>
        <w:rPr>
          <w:rFonts w:hint="eastAsia"/>
        </w:rPr>
        <w:t>进行修改后重新提交审批。</w:t>
      </w:r>
    </w:p>
    <w:p>
      <w:pPr>
        <w:pStyle w:val="18"/>
      </w:pPr>
      <w:r>
        <w:drawing>
          <wp:inline distT="0" distB="0" distL="114300" distR="114300">
            <wp:extent cx="5266690" cy="883285"/>
            <wp:effectExtent l="0" t="0" r="1016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81" w:name="_Toc12450"/>
      <w:bookmarkStart w:id="82" w:name="_Toc14193"/>
      <w:bookmarkStart w:id="83" w:name="_Toc18002"/>
      <w:r>
        <w:rPr>
          <w:rFonts w:hint="eastAsia"/>
        </w:rPr>
        <w:t>终止交易</w:t>
      </w:r>
      <w:bookmarkEnd w:id="81"/>
      <w:bookmarkEnd w:id="82"/>
      <w:bookmarkEnd w:id="83"/>
    </w:p>
    <w:p>
      <w:pPr>
        <w:pStyle w:val="18"/>
      </w:pPr>
      <w:r>
        <w:rPr>
          <w:rFonts w:hint="eastAsia"/>
        </w:rPr>
        <w:t>如果出现所有报价均</w:t>
      </w:r>
      <w:r>
        <w:rPr>
          <w:rFonts w:hint="eastAsia"/>
          <w:b/>
          <w:bCs/>
        </w:rPr>
        <w:t>超预算</w:t>
      </w:r>
      <w:r>
        <w:rPr>
          <w:rFonts w:hint="eastAsia"/>
        </w:rPr>
        <w:t>或</w:t>
      </w:r>
      <w:r>
        <w:rPr>
          <w:rFonts w:hint="eastAsia"/>
          <w:b/>
          <w:bCs/>
        </w:rPr>
        <w:t>不再需要采购</w:t>
      </w:r>
      <w:r>
        <w:rPr>
          <w:rFonts w:hint="eastAsia"/>
        </w:rPr>
        <w:t>该项目时，管理员可以进行</w:t>
      </w:r>
      <w:r>
        <w:rPr>
          <w:rFonts w:hint="eastAsia"/>
          <w:b/>
          <w:bCs/>
        </w:rPr>
        <w:t>终止交易</w:t>
      </w:r>
      <w:r>
        <w:rPr>
          <w:rFonts w:hint="eastAsia"/>
        </w:rPr>
        <w:t>，具体操作与</w:t>
      </w:r>
      <w:r>
        <w:rPr>
          <w:rFonts w:hint="eastAsia"/>
          <w:b/>
          <w:bCs/>
        </w:rPr>
        <w:t>“发布审批”</w:t>
      </w:r>
      <w:r>
        <w:rPr>
          <w:rFonts w:hint="eastAsia"/>
        </w:rPr>
        <w:t>中的</w:t>
      </w:r>
      <w:r>
        <w:rPr>
          <w:rFonts w:hint="eastAsia"/>
          <w:b/>
          <w:bCs/>
        </w:rPr>
        <w:t>“终止交易”</w:t>
      </w:r>
      <w:r>
        <w:rPr>
          <w:rFonts w:hint="eastAsia"/>
        </w:rPr>
        <w:t>类似，此处不再赘述。</w:t>
      </w: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r>
        <w:br w:type="page"/>
      </w:r>
    </w:p>
    <w:p>
      <w:pPr>
        <w:pStyle w:val="15"/>
        <w:ind w:left="630" w:leftChars="0" w:firstLineChars="0"/>
      </w:pPr>
      <w:bookmarkStart w:id="84" w:name="_Toc9849"/>
      <w:bookmarkStart w:id="85" w:name="_Toc983"/>
      <w:bookmarkStart w:id="86" w:name="_Toc2243"/>
      <w:r>
        <w:rPr>
          <w:rFonts w:hint="eastAsia"/>
        </w:rPr>
        <w:t>再成交审批</w:t>
      </w:r>
      <w:bookmarkEnd w:id="84"/>
      <w:bookmarkEnd w:id="85"/>
      <w:bookmarkEnd w:id="86"/>
    </w:p>
    <w:p>
      <w:pPr>
        <w:pStyle w:val="18"/>
      </w:pPr>
      <w:r>
        <w:rPr>
          <w:rFonts w:hint="eastAsia"/>
        </w:rPr>
        <w:t>如果申购单处于</w:t>
      </w:r>
      <w:r>
        <w:rPr>
          <w:rFonts w:hint="eastAsia"/>
          <w:b/>
          <w:bCs/>
        </w:rPr>
        <w:t>申请再成交</w:t>
      </w:r>
      <w:r>
        <w:rPr>
          <w:rFonts w:hint="eastAsia"/>
        </w:rPr>
        <w:t>状态，则</w:t>
      </w:r>
      <w:r>
        <w:rPr>
          <w:rFonts w:hint="eastAsia"/>
          <w:b/>
          <w:bCs/>
        </w:rPr>
        <w:t>结果审批（一审/二审）</w:t>
      </w:r>
      <w:r>
        <w:rPr>
          <w:rFonts w:hint="eastAsia"/>
        </w:rPr>
        <w:t>实际上也是在进行</w:t>
      </w:r>
      <w:r>
        <w:rPr>
          <w:rFonts w:hint="eastAsia"/>
          <w:b/>
          <w:bCs/>
        </w:rPr>
        <w:t>再成交审批</w:t>
      </w:r>
      <w:r>
        <w:rPr>
          <w:rFonts w:hint="eastAsia"/>
        </w:rPr>
        <w:t>。在结果审批查询页中，可以通过</w:t>
      </w:r>
      <w:r>
        <w:rPr>
          <w:rFonts w:hint="eastAsia"/>
          <w:b/>
          <w:bCs/>
        </w:rPr>
        <w:t>“当前状态”</w:t>
      </w:r>
      <w:r>
        <w:rPr>
          <w:rFonts w:hint="eastAsia"/>
        </w:rPr>
        <w:t>栏来判断申购单是否处于申请再成交状态。</w:t>
      </w:r>
    </w:p>
    <w:p>
      <w:pPr>
        <w:pStyle w:val="18"/>
      </w:pPr>
      <w:r>
        <w:drawing>
          <wp:inline distT="0" distB="0" distL="0" distR="0">
            <wp:extent cx="5274310" cy="22987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rPr>
          <w:rFonts w:hint="eastAsia"/>
        </w:rPr>
        <w:t>申请了再成交的采购项，会在</w:t>
      </w:r>
      <w:r>
        <w:rPr>
          <w:rFonts w:hint="eastAsia"/>
          <w:b/>
          <w:bCs/>
        </w:rPr>
        <w:t>采购项信息</w:t>
      </w:r>
      <w:r>
        <w:rPr>
          <w:rFonts w:hint="eastAsia"/>
        </w:rPr>
        <w:t>下方显示</w:t>
      </w:r>
      <w:r>
        <w:rPr>
          <w:rFonts w:hint="eastAsia"/>
          <w:b/>
          <w:bCs/>
        </w:rPr>
        <w:t>再成交原因</w:t>
      </w:r>
      <w:r>
        <w:rPr>
          <w:rFonts w:hint="eastAsia"/>
        </w:rPr>
        <w:t>，供应商报价信息中的</w:t>
      </w:r>
      <w:r>
        <w:rPr>
          <w:rFonts w:hint="eastAsia"/>
          <w:b/>
          <w:bCs/>
        </w:rPr>
        <w:t>选择理由</w:t>
      </w:r>
      <w:r>
        <w:rPr>
          <w:rFonts w:hint="eastAsia"/>
        </w:rPr>
        <w:t>也覆盖为采购人申请再成交时重新填写的选择理由。</w:t>
      </w:r>
    </w:p>
    <w:p>
      <w:pPr>
        <w:pStyle w:val="18"/>
      </w:pPr>
      <w:r>
        <w:drawing>
          <wp:inline distT="0" distB="0" distL="0" distR="0">
            <wp:extent cx="5274310" cy="21189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  <w:rPr>
          <w:rFonts w:hint="eastAsia"/>
        </w:rPr>
      </w:pPr>
      <w:r>
        <w:rPr>
          <w:rFonts w:hint="eastAsia"/>
        </w:rPr>
        <w:t>如果管理员进行了</w:t>
      </w:r>
      <w:r>
        <w:rPr>
          <w:rFonts w:hint="eastAsia"/>
          <w:b/>
          <w:bCs/>
        </w:rPr>
        <w:t>发布成交结果</w:t>
      </w:r>
      <w:r>
        <w:rPr>
          <w:rFonts w:hint="eastAsia"/>
        </w:rPr>
        <w:t>，则再成交审批通过，系统也会记录一条再成交审批通过的操作日志。</w:t>
      </w:r>
      <w:r>
        <w:rPr>
          <w:rFonts w:hint="eastAsia"/>
          <w:b/>
          <w:bCs/>
        </w:rPr>
        <w:t>原本的成交商</w:t>
      </w:r>
      <w:r>
        <w:rPr>
          <w:rFonts w:hint="eastAsia"/>
        </w:rPr>
        <w:t>的成交状态会被撤销，</w:t>
      </w:r>
      <w:r>
        <w:rPr>
          <w:rFonts w:hint="eastAsia"/>
          <w:b/>
          <w:bCs/>
        </w:rPr>
        <w:t>新选择的成交商</w:t>
      </w:r>
      <w:r>
        <w:rPr>
          <w:rFonts w:hint="eastAsia"/>
        </w:rPr>
        <w:t>会被标记为</w:t>
      </w:r>
      <w:r>
        <w:rPr>
          <w:rFonts w:hint="eastAsia"/>
          <w:b/>
          <w:bCs/>
        </w:rPr>
        <w:t>成交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原</w:t>
      </w:r>
      <w:r>
        <w:rPr>
          <w:rFonts w:hint="eastAsia"/>
        </w:rPr>
        <w:t>中标公告中覆盖并更新</w:t>
      </w:r>
      <w:r>
        <w:rPr>
          <w:rFonts w:hint="eastAsia"/>
          <w:lang w:val="en-US" w:eastAsia="zh-CN"/>
        </w:rPr>
        <w:t>成交供应商。</w:t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如果管理员进行了</w:t>
      </w:r>
      <w:r>
        <w:rPr>
          <w:rFonts w:hint="eastAsia"/>
          <w:b/>
          <w:bCs/>
        </w:rPr>
        <w:t>驳回</w:t>
      </w:r>
      <w:r>
        <w:rPr>
          <w:rFonts w:hint="eastAsia"/>
        </w:rPr>
        <w:t>，则申购单会被恢复为用户</w:t>
      </w:r>
      <w:r>
        <w:rPr>
          <w:rFonts w:hint="eastAsia"/>
          <w:b/>
          <w:bCs/>
        </w:rPr>
        <w:t>申请再成交时</w:t>
      </w:r>
      <w:r>
        <w:rPr>
          <w:rFonts w:hint="eastAsia"/>
        </w:rPr>
        <w:t>的</w:t>
      </w:r>
      <w:r>
        <w:rPr>
          <w:rFonts w:hint="eastAsia"/>
          <w:b/>
          <w:bCs/>
        </w:rPr>
        <w:t>流程、状态</w:t>
      </w:r>
      <w:r>
        <w:rPr>
          <w:rFonts w:hint="eastAsia"/>
        </w:rPr>
        <w:t>。比如，申购单处于</w:t>
      </w:r>
      <w:r>
        <w:rPr>
          <w:rFonts w:hint="eastAsia"/>
          <w:b/>
          <w:bCs/>
        </w:rPr>
        <w:t>“收货”</w:t>
      </w:r>
      <w:r>
        <w:rPr>
          <w:rFonts w:hint="eastAsia"/>
        </w:rPr>
        <w:t>节点，用户申请了再成交，则申购单转入</w:t>
      </w:r>
      <w:r>
        <w:rPr>
          <w:rFonts w:hint="eastAsia"/>
          <w:b/>
          <w:bCs/>
        </w:rPr>
        <w:t>“一审”</w:t>
      </w:r>
      <w:r>
        <w:rPr>
          <w:rFonts w:hint="eastAsia"/>
        </w:rPr>
        <w:t>，此时管理员驳回，则申购单会被重新恢复到</w:t>
      </w:r>
      <w:r>
        <w:rPr>
          <w:rFonts w:hint="eastAsia"/>
          <w:b/>
          <w:bCs/>
        </w:rPr>
        <w:t>“收货”</w:t>
      </w:r>
      <w:r>
        <w:rPr>
          <w:rFonts w:hint="eastAsia"/>
        </w:rPr>
        <w:t>，用户仍可与</w:t>
      </w:r>
      <w:r>
        <w:rPr>
          <w:rFonts w:hint="eastAsia"/>
          <w:b/>
          <w:bCs/>
        </w:rPr>
        <w:t>原成交供应商</w:t>
      </w:r>
      <w:r>
        <w:rPr>
          <w:rFonts w:hint="eastAsia"/>
        </w:rPr>
        <w:t>继续成交，或者</w:t>
      </w:r>
      <w:r>
        <w:rPr>
          <w:rFonts w:hint="eastAsia"/>
          <w:b/>
          <w:bCs/>
        </w:rPr>
        <w:t>再次提交</w:t>
      </w:r>
      <w:r>
        <w:rPr>
          <w:rFonts w:hint="eastAsia"/>
        </w:rPr>
        <w:t>再成交申请。</w:t>
      </w:r>
    </w:p>
    <w:p>
      <w:pPr>
        <w:widowControl/>
        <w:jc w:val="left"/>
        <w:rPr>
          <w:b/>
          <w:kern w:val="44"/>
          <w:sz w:val="32"/>
          <w:szCs w:val="44"/>
        </w:rPr>
      </w:pPr>
      <w:r>
        <w:br w:type="page"/>
      </w:r>
    </w:p>
    <w:p>
      <w:pPr>
        <w:pStyle w:val="14"/>
      </w:pPr>
      <w:bookmarkStart w:id="87" w:name="_Toc32558"/>
      <w:bookmarkStart w:id="88" w:name="_Toc5571"/>
      <w:bookmarkStart w:id="89" w:name="_Toc8059"/>
      <w:r>
        <w:rPr>
          <w:rFonts w:hint="eastAsia"/>
        </w:rPr>
        <w:t>用户管理</w:t>
      </w:r>
      <w:bookmarkEnd w:id="87"/>
      <w:bookmarkEnd w:id="88"/>
      <w:bookmarkEnd w:id="89"/>
    </w:p>
    <w:p>
      <w:pPr>
        <w:pStyle w:val="15"/>
        <w:ind w:left="630" w:leftChars="0" w:firstLineChars="0"/>
      </w:pPr>
      <w:bookmarkStart w:id="90" w:name="_Toc30887"/>
      <w:bookmarkStart w:id="91" w:name="_Toc5322"/>
      <w:bookmarkStart w:id="92" w:name="_Toc17939"/>
      <w:r>
        <w:rPr>
          <w:rFonts w:hint="eastAsia"/>
        </w:rPr>
        <w:t>查询用户</w:t>
      </w:r>
      <w:bookmarkEnd w:id="90"/>
      <w:bookmarkEnd w:id="91"/>
      <w:bookmarkEnd w:id="92"/>
    </w:p>
    <w:p>
      <w:pPr>
        <w:pStyle w:val="18"/>
      </w:pPr>
      <w:r>
        <w:rPr>
          <w:rFonts w:hint="eastAsia"/>
        </w:rPr>
        <w:t>进入“系统管理”-“用户管理”即可查询和管理采购单位的所有用户。</w:t>
      </w:r>
    </w:p>
    <w:p>
      <w:pPr>
        <w:pStyle w:val="18"/>
        <w:rPr>
          <w:rFonts w:asciiTheme="majorHAnsi" w:hAnsiTheme="majorHAnsi" w:eastAsiaTheme="majorEastAsia" w:cstheme="majorBidi"/>
          <w:b/>
          <w:bCs/>
          <w:sz w:val="24"/>
          <w:szCs w:val="32"/>
        </w:rPr>
      </w:pPr>
      <w:r>
        <w:drawing>
          <wp:inline distT="0" distB="0" distL="114300" distR="114300">
            <wp:extent cx="2990850" cy="2638425"/>
            <wp:effectExtent l="0" t="0" r="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93" w:name="_Toc30465"/>
      <w:bookmarkStart w:id="94" w:name="_Toc13078"/>
      <w:bookmarkStart w:id="95" w:name="_Toc11978"/>
      <w:r>
        <w:rPr>
          <w:rFonts w:hint="eastAsia"/>
        </w:rPr>
        <w:t>调整用户角色</w:t>
      </w:r>
      <w:bookmarkEnd w:id="93"/>
      <w:bookmarkEnd w:id="94"/>
      <w:bookmarkEnd w:id="95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在用户管理查询页找到需要调整的用户，点击对应的</w:t>
      </w:r>
      <w:r>
        <w:rPr>
          <w:rFonts w:hint="eastAsia"/>
          <w:b/>
          <w:bCs/>
        </w:rPr>
        <w:t>编辑图标</w:t>
      </w:r>
      <w:r>
        <w:rPr>
          <w:rFonts w:hint="eastAsia"/>
        </w:rPr>
        <w:t>，即可进入用户编辑页面。</w:t>
      </w:r>
    </w:p>
    <w:p>
      <w:pPr>
        <w:pStyle w:val="18"/>
        <w:ind w:left="1620"/>
      </w:pPr>
      <w:r>
        <w:drawing>
          <wp:inline distT="0" distB="0" distL="114300" distR="114300">
            <wp:extent cx="5269865" cy="652145"/>
            <wp:effectExtent l="0" t="0" r="698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进入到用户编辑页面后，在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val="en-US" w:eastAsia="zh-CN"/>
        </w:rPr>
        <w:t>用户角色</w:t>
      </w:r>
      <w:r>
        <w:rPr>
          <w:rFonts w:hint="eastAsia"/>
          <w:b/>
          <w:bCs/>
        </w:rPr>
        <w:t>”</w:t>
      </w:r>
      <w:r>
        <w:rPr>
          <w:rFonts w:hint="eastAsia"/>
        </w:rPr>
        <w:t>一栏，点击弹出下拉框，在下拉框中选择需要</w:t>
      </w:r>
      <w:r>
        <w:rPr>
          <w:rFonts w:hint="eastAsia"/>
          <w:b/>
          <w:bCs/>
        </w:rPr>
        <w:t>调整到的角色</w:t>
      </w:r>
      <w:r>
        <w:rPr>
          <w:rFonts w:hint="eastAsia"/>
        </w:rPr>
        <w:t>，点击</w:t>
      </w:r>
      <w:r>
        <w:rPr>
          <w:rFonts w:hint="eastAsia"/>
          <w:b/>
          <w:bCs/>
        </w:rPr>
        <w:t>“保存”</w:t>
      </w:r>
      <w:r>
        <w:rPr>
          <w:rFonts w:hint="eastAsia"/>
        </w:rPr>
        <w:t>后，即可完成角色调整。</w:t>
      </w:r>
    </w:p>
    <w:p>
      <w:pPr>
        <w:pStyle w:val="18"/>
        <w:ind w:left="1620"/>
      </w:pPr>
      <w:r>
        <w:rPr>
          <w:rFonts w:hint="eastAsia"/>
        </w:rPr>
        <w:t>（注意：调整完角色后，该用户需要</w:t>
      </w:r>
      <w:r>
        <w:rPr>
          <w:rFonts w:hint="eastAsia"/>
          <w:b/>
          <w:bCs/>
        </w:rPr>
        <w:t>退出</w:t>
      </w:r>
      <w:r>
        <w:rPr>
          <w:rFonts w:hint="eastAsia"/>
        </w:rPr>
        <w:t>后</w:t>
      </w:r>
      <w:r>
        <w:rPr>
          <w:rFonts w:hint="eastAsia"/>
          <w:b/>
          <w:bCs/>
        </w:rPr>
        <w:t>重新登录</w:t>
      </w:r>
      <w:r>
        <w:rPr>
          <w:rFonts w:hint="eastAsia"/>
        </w:rPr>
        <w:t>，方能生效）</w:t>
      </w:r>
    </w:p>
    <w:p>
      <w:pPr>
        <w:pStyle w:val="18"/>
        <w:ind w:left="1620"/>
      </w:pPr>
      <w:r>
        <w:drawing>
          <wp:inline distT="0" distB="0" distL="114300" distR="114300">
            <wp:extent cx="5272405" cy="4009390"/>
            <wp:effectExtent l="0" t="0" r="444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96" w:name="_Toc10577"/>
      <w:bookmarkStart w:id="97" w:name="_Toc13728"/>
      <w:bookmarkStart w:id="98" w:name="_Toc7610"/>
      <w:r>
        <w:rPr>
          <w:rFonts w:hint="eastAsia"/>
        </w:rPr>
        <w:t>修改用户信息</w:t>
      </w:r>
      <w:bookmarkEnd w:id="96"/>
      <w:bookmarkEnd w:id="97"/>
      <w:bookmarkEnd w:id="98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在用户管理查询页找到需要调整的用户，点击对应的编辑图标，即可进入用户编辑页面。</w:t>
      </w:r>
    </w:p>
    <w:p>
      <w:pPr>
        <w:pStyle w:val="18"/>
        <w:ind w:left="1620"/>
      </w:pPr>
      <w:r>
        <w:drawing>
          <wp:inline distT="0" distB="0" distL="114300" distR="114300">
            <wp:extent cx="5269865" cy="652145"/>
            <wp:effectExtent l="0" t="0" r="6985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在用户编辑对话框中，对用户信息修改，修改完成后点击“保存”以完成用户信息修改。</w:t>
      </w:r>
    </w:p>
    <w:p>
      <w:pPr>
        <w:pStyle w:val="18"/>
        <w:ind w:left="0" w:leftChars="0" w:firstLine="0" w:firstLineChars="0"/>
      </w:pPr>
      <w:r>
        <w:drawing>
          <wp:inline distT="0" distB="0" distL="114300" distR="114300">
            <wp:extent cx="5271135" cy="5670550"/>
            <wp:effectExtent l="0" t="0" r="571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99" w:name="_Toc324"/>
      <w:bookmarkStart w:id="100" w:name="_Toc6864"/>
      <w:bookmarkStart w:id="101" w:name="_Toc1570"/>
      <w:r>
        <w:rPr>
          <w:rFonts w:hint="eastAsia"/>
        </w:rPr>
        <w:t>重置用户密码</w:t>
      </w:r>
      <w:bookmarkEnd w:id="99"/>
      <w:bookmarkEnd w:id="100"/>
      <w:bookmarkEnd w:id="101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当用户遗忘竞价网账号密码时，可以找管理员重置密码。管理员需要打开</w:t>
      </w:r>
      <w:r>
        <w:rPr>
          <w:rFonts w:hint="eastAsia"/>
          <w:b/>
          <w:bCs/>
        </w:rPr>
        <w:t>用户管理</w:t>
      </w:r>
      <w:r>
        <w:rPr>
          <w:rFonts w:hint="eastAsia"/>
        </w:rPr>
        <w:t>查询页，找到需要重置密码的用户，点击</w:t>
      </w:r>
      <w:r>
        <w:rPr>
          <w:rFonts w:hint="eastAsia"/>
          <w:b/>
          <w:bCs/>
        </w:rPr>
        <w:t>修改密码图标</w:t>
      </w:r>
      <w:r>
        <w:rPr>
          <w:rFonts w:hint="eastAsia"/>
        </w:rPr>
        <w:t>，会弹出修改密码对话框。</w:t>
      </w:r>
    </w:p>
    <w:p>
      <w:pPr>
        <w:pStyle w:val="18"/>
        <w:ind w:left="1620"/>
      </w:pPr>
      <w:r>
        <w:rPr>
          <w:rFonts w:hint="eastAsia"/>
        </w:rPr>
        <w:t>（注意：如果贵采购单位接入了</w:t>
      </w:r>
      <w:r>
        <w:rPr>
          <w:rFonts w:hint="eastAsia"/>
          <w:b/>
          <w:bCs/>
        </w:rPr>
        <w:t>单点登录/统一身份认证</w:t>
      </w:r>
      <w:r>
        <w:rPr>
          <w:rFonts w:hint="eastAsia"/>
        </w:rPr>
        <w:t>，如用户忘记</w:t>
      </w:r>
      <w:r>
        <w:rPr>
          <w:rFonts w:hint="eastAsia"/>
          <w:b/>
          <w:bCs/>
        </w:rPr>
        <w:t>单点登录/统一身份认证</w:t>
      </w:r>
      <w:r>
        <w:rPr>
          <w:rFonts w:hint="eastAsia"/>
        </w:rPr>
        <w:t>密码，则应在</w:t>
      </w:r>
      <w:r>
        <w:rPr>
          <w:rFonts w:hint="eastAsia"/>
          <w:b/>
          <w:bCs/>
        </w:rPr>
        <w:t>单点登录/统一身份认证系统</w:t>
      </w:r>
      <w:r>
        <w:rPr>
          <w:rFonts w:hint="eastAsia"/>
        </w:rPr>
        <w:t>重置密码）</w:t>
      </w:r>
    </w:p>
    <w:p>
      <w:pPr>
        <w:pStyle w:val="18"/>
        <w:ind w:left="1620"/>
      </w:pPr>
      <w:r>
        <w:drawing>
          <wp:inline distT="0" distB="0" distL="114300" distR="114300">
            <wp:extent cx="5270500" cy="638810"/>
            <wp:effectExtent l="0" t="0" r="635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在修改密码对话框中，</w:t>
      </w:r>
      <w:r>
        <w:rPr>
          <w:rFonts w:hint="eastAsia"/>
          <w:b/>
          <w:bCs/>
        </w:rPr>
        <w:t>输入新密码</w:t>
      </w:r>
      <w:r>
        <w:rPr>
          <w:rFonts w:hint="eastAsia"/>
        </w:rPr>
        <w:t>，点击</w:t>
      </w:r>
      <w:r>
        <w:rPr>
          <w:rFonts w:hint="eastAsia"/>
          <w:b/>
          <w:bCs/>
        </w:rPr>
        <w:t>“保存”</w:t>
      </w:r>
      <w:r>
        <w:rPr>
          <w:rFonts w:hint="eastAsia"/>
        </w:rPr>
        <w:t>提交（两次输入的密码需要保持一致），即可完成用户密码重置。</w:t>
      </w:r>
    </w:p>
    <w:p>
      <w:pPr>
        <w:pStyle w:val="18"/>
        <w:ind w:left="1620"/>
      </w:pPr>
      <w:r>
        <w:drawing>
          <wp:inline distT="0" distB="0" distL="0" distR="0">
            <wp:extent cx="3017520" cy="173926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4"/>
                    <a:srcRect l="793" t="1940" r="-1" b="-1940"/>
                    <a:stretch>
                      <a:fillRect/>
                    </a:stretch>
                  </pic:blipFill>
                  <pic:spPr>
                    <a:xfrm>
                      <a:off x="0" y="0"/>
                      <a:ext cx="3046167" cy="17560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02" w:name="_Toc12851"/>
      <w:bookmarkStart w:id="103" w:name="_Toc24019"/>
      <w:bookmarkStart w:id="104" w:name="_Toc10529"/>
      <w:r>
        <w:rPr>
          <w:rFonts w:hint="eastAsia"/>
        </w:rPr>
        <w:t>审核注册用户</w:t>
      </w:r>
      <w:bookmarkEnd w:id="102"/>
      <w:bookmarkEnd w:id="103"/>
      <w:bookmarkEnd w:id="104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在用户管理查询页，状态查询条件选择“待审核”可以快速筛选出已注册待审核的用户。</w:t>
      </w:r>
    </w:p>
    <w:p>
      <w:pPr>
        <w:pStyle w:val="18"/>
        <w:ind w:left="1620"/>
      </w:pPr>
      <w:r>
        <w:drawing>
          <wp:inline distT="0" distB="0" distL="0" distR="0">
            <wp:extent cx="5274310" cy="892810"/>
            <wp:effectExtent l="0" t="0" r="2540" b="254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找到需要审核的用户，点击</w:t>
      </w:r>
      <w:r>
        <w:rPr>
          <w:rFonts w:hint="eastAsia"/>
          <w:lang w:eastAsia="zh-CN"/>
        </w:rPr>
        <w:t>“</w:t>
      </w:r>
      <w:r>
        <w:rPr>
          <w:rFonts w:hint="eastAsia"/>
          <w:b/>
          <w:bCs/>
          <w:lang w:val="en-US" w:eastAsia="zh-CN"/>
        </w:rPr>
        <w:t>修改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调整用户状态为“</w:t>
      </w:r>
      <w:r>
        <w:rPr>
          <w:rFonts w:hint="eastAsia"/>
          <w:b/>
          <w:bCs/>
          <w:lang w:val="en-US" w:eastAsia="zh-CN"/>
        </w:rPr>
        <w:t>有效</w:t>
      </w:r>
      <w:r>
        <w:rPr>
          <w:rFonts w:hint="eastAsia"/>
          <w:lang w:val="en-US" w:eastAsia="zh-CN"/>
        </w:rPr>
        <w:t>”</w:t>
      </w:r>
      <w:r>
        <w:rPr>
          <w:rFonts w:hint="eastAsia"/>
        </w:rPr>
        <w:t>，即可将该注册用户</w:t>
      </w:r>
      <w:r>
        <w:rPr>
          <w:rFonts w:hint="eastAsia"/>
          <w:b/>
          <w:bCs/>
        </w:rPr>
        <w:t>审核通过</w:t>
      </w:r>
      <w:r>
        <w:rPr>
          <w:rFonts w:hint="eastAsia"/>
        </w:rPr>
        <w:t>，通过后该用户即能够登录竞价网，并默认赋予普通老师角色（管理员之后还可以对角色进行调整）。</w:t>
      </w:r>
    </w:p>
    <w:p>
      <w:pPr>
        <w:pStyle w:val="18"/>
        <w:ind w:left="1620"/>
      </w:pPr>
      <w:r>
        <w:drawing>
          <wp:inline distT="0" distB="0" distL="114300" distR="114300">
            <wp:extent cx="3819525" cy="2419350"/>
            <wp:effectExtent l="0" t="0" r="952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05" w:name="_Toc7867"/>
      <w:bookmarkStart w:id="106" w:name="_Toc28162"/>
      <w:bookmarkStart w:id="107" w:name="_Toc24329"/>
      <w:r>
        <w:rPr>
          <w:rFonts w:hint="eastAsia"/>
        </w:rPr>
        <w:t>删除用户</w:t>
      </w:r>
      <w:bookmarkEnd w:id="105"/>
      <w:bookmarkEnd w:id="106"/>
      <w:bookmarkEnd w:id="107"/>
    </w:p>
    <w:p>
      <w:pPr>
        <w:pStyle w:val="18"/>
      </w:pPr>
      <w:r>
        <w:rPr>
          <w:rFonts w:hint="eastAsia"/>
        </w:rPr>
        <w:t>在用户管理查询页找到需要删除的用户，点击对应的删除图标，即可删除该用户。</w:t>
      </w:r>
    </w:p>
    <w:p>
      <w:pPr>
        <w:pStyle w:val="18"/>
      </w:pPr>
      <w:r>
        <w:rPr>
          <w:rFonts w:hint="eastAsia"/>
        </w:rPr>
        <w:t>（</w:t>
      </w:r>
      <w:r>
        <w:rPr>
          <w:rFonts w:hint="eastAsia"/>
          <w:b/>
          <w:bCs/>
        </w:rPr>
        <w:t>注意：用户删除后无法找回，请谨慎操作！</w:t>
      </w:r>
      <w:r>
        <w:rPr>
          <w:rFonts w:hint="eastAsia"/>
        </w:rPr>
        <w:t>）</w:t>
      </w:r>
    </w:p>
    <w:p>
      <w:pPr>
        <w:pStyle w:val="18"/>
      </w:pPr>
      <w:r>
        <w:drawing>
          <wp:inline distT="0" distB="0" distL="114300" distR="114300">
            <wp:extent cx="4181475" cy="1089025"/>
            <wp:effectExtent l="0" t="0" r="9525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bookmarkStart w:id="108" w:name="_Toc22676"/>
      <w:bookmarkStart w:id="109" w:name="_Toc23727"/>
      <w:bookmarkStart w:id="110" w:name="_Toc32690"/>
      <w:r>
        <w:rPr>
          <w:rFonts w:hint="eastAsia"/>
        </w:rPr>
        <w:t>综合查询</w:t>
      </w:r>
      <w:bookmarkEnd w:id="108"/>
      <w:bookmarkEnd w:id="109"/>
      <w:bookmarkEnd w:id="110"/>
    </w:p>
    <w:p>
      <w:pPr>
        <w:pStyle w:val="15"/>
        <w:ind w:left="630" w:leftChars="0" w:firstLineChars="0"/>
      </w:pPr>
      <w:bookmarkStart w:id="111" w:name="_Toc10410"/>
      <w:bookmarkStart w:id="112" w:name="_Toc31009"/>
      <w:bookmarkStart w:id="113" w:name="_Toc27068"/>
      <w:r>
        <w:rPr>
          <w:rFonts w:hint="eastAsia"/>
        </w:rPr>
        <w:t>进入综合查询</w:t>
      </w:r>
      <w:bookmarkEnd w:id="111"/>
      <w:bookmarkEnd w:id="112"/>
      <w:bookmarkEnd w:id="113"/>
    </w:p>
    <w:p>
      <w:pPr>
        <w:pStyle w:val="18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“申购管理”-“综合查询”</w:t>
      </w:r>
      <w:r>
        <w:rPr>
          <w:rFonts w:hint="eastAsia"/>
        </w:rPr>
        <w:t>即可进入综合查询页面。</w:t>
      </w:r>
    </w:p>
    <w:p>
      <w:pPr>
        <w:pStyle w:val="18"/>
      </w:pPr>
      <w:r>
        <w:drawing>
          <wp:inline distT="0" distB="0" distL="0" distR="0">
            <wp:extent cx="3001645" cy="2772410"/>
            <wp:effectExtent l="0" t="0" r="8255" b="889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11504" cy="27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14" w:name="_Toc19971"/>
      <w:bookmarkStart w:id="115" w:name="_Toc26244"/>
      <w:bookmarkStart w:id="116" w:name="_Toc8946"/>
      <w:r>
        <w:rPr>
          <w:rFonts w:hint="eastAsia"/>
        </w:rPr>
        <w:t>查询条件</w:t>
      </w:r>
      <w:bookmarkEnd w:id="114"/>
      <w:bookmarkEnd w:id="115"/>
      <w:bookmarkEnd w:id="116"/>
    </w:p>
    <w:p>
      <w:pPr>
        <w:pStyle w:val="18"/>
      </w:pPr>
      <w:r>
        <w:rPr>
          <w:rFonts w:hint="eastAsia"/>
        </w:rPr>
        <w:t>综合查询可以根据申购单号、申购人姓名、申购主题、经费代码、经费科目、申购部门、申购单状态进行查询。</w:t>
      </w:r>
    </w:p>
    <w:p>
      <w:pPr>
        <w:pStyle w:val="18"/>
      </w:pPr>
      <w:r>
        <w:drawing>
          <wp:inline distT="0" distB="0" distL="0" distR="0">
            <wp:extent cx="5274310" cy="108775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rPr>
          <w:rFonts w:hint="eastAsia"/>
        </w:rPr>
        <w:t>点击</w:t>
      </w:r>
      <w:r>
        <w:rPr>
          <w:rFonts w:hint="eastAsia"/>
          <w:b/>
          <w:bCs/>
        </w:rPr>
        <w:t>“高级查询”</w:t>
      </w:r>
      <w:r>
        <w:rPr>
          <w:rFonts w:hint="eastAsia"/>
        </w:rPr>
        <w:t>后，则会展开更多查询条件，如申购单类别（</w:t>
      </w:r>
      <w:r>
        <w:rPr>
          <w:rFonts w:hint="eastAsia"/>
          <w:b/>
          <w:bCs/>
        </w:rPr>
        <w:t>采购类别</w:t>
      </w:r>
      <w:r>
        <w:rPr>
          <w:rFonts w:hint="eastAsia"/>
        </w:rPr>
        <w:t>）、申购单</w:t>
      </w:r>
      <w:r>
        <w:rPr>
          <w:rFonts w:hint="eastAsia"/>
          <w:b/>
          <w:bCs/>
        </w:rPr>
        <w:t>所在节点</w:t>
      </w:r>
      <w:r>
        <w:rPr>
          <w:rFonts w:hint="eastAsia"/>
        </w:rPr>
        <w:t>、申购单发布竞价时间（</w:t>
      </w:r>
      <w:r>
        <w:rPr>
          <w:rFonts w:hint="eastAsia"/>
          <w:b/>
          <w:bCs/>
        </w:rPr>
        <w:t>发布时间</w:t>
      </w:r>
      <w:r>
        <w:rPr>
          <w:rFonts w:hint="eastAsia"/>
        </w:rPr>
        <w:t>）、申购单竞价截止时间（</w:t>
      </w:r>
      <w:r>
        <w:rPr>
          <w:rFonts w:hint="eastAsia"/>
          <w:b/>
          <w:bCs/>
        </w:rPr>
        <w:t>截止时间</w:t>
      </w:r>
      <w:r>
        <w:rPr>
          <w:rFonts w:hint="eastAsia"/>
        </w:rPr>
        <w:t>）、申购单发布成交结果时间（</w:t>
      </w:r>
      <w:r>
        <w:rPr>
          <w:rFonts w:hint="eastAsia"/>
          <w:b/>
          <w:bCs/>
        </w:rPr>
        <w:t>发布成交</w:t>
      </w:r>
      <w:r>
        <w:rPr>
          <w:rFonts w:hint="eastAsia"/>
        </w:rPr>
        <w:t>）。</w:t>
      </w:r>
    </w:p>
    <w:p>
      <w:pPr>
        <w:pStyle w:val="18"/>
      </w:pPr>
      <w:r>
        <w:drawing>
          <wp:inline distT="0" distB="0" distL="0" distR="0">
            <wp:extent cx="4461510" cy="909320"/>
            <wp:effectExtent l="0" t="0" r="0" b="508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5160" cy="9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drawing>
          <wp:inline distT="0" distB="0" distL="0" distR="0">
            <wp:extent cx="5274310" cy="1457960"/>
            <wp:effectExtent l="0" t="0" r="2540" b="889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17" w:name="_Toc3446"/>
      <w:bookmarkStart w:id="118" w:name="_Toc31444"/>
      <w:bookmarkStart w:id="119" w:name="_Toc2605"/>
      <w:r>
        <w:rPr>
          <w:rFonts w:hint="eastAsia"/>
        </w:rPr>
        <w:t>打印</w:t>
      </w:r>
      <w:bookmarkEnd w:id="117"/>
      <w:bookmarkEnd w:id="118"/>
      <w:bookmarkEnd w:id="119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找到需要打印的申购单，将鼠标移动到</w:t>
      </w:r>
      <w:r>
        <w:rPr>
          <w:rFonts w:hint="eastAsia"/>
          <w:b/>
          <w:bCs/>
        </w:rPr>
        <w:t>“更多操作”</w:t>
      </w:r>
      <w:r>
        <w:rPr>
          <w:rFonts w:hint="eastAsia"/>
        </w:rPr>
        <w:t>按钮上，在弹出的下拉菜单中选择</w:t>
      </w:r>
      <w:r>
        <w:rPr>
          <w:rFonts w:hint="eastAsia"/>
          <w:b/>
          <w:bCs/>
        </w:rPr>
        <w:t>“打印”</w:t>
      </w:r>
      <w:r>
        <w:rPr>
          <w:rFonts w:hint="eastAsia"/>
        </w:rPr>
        <w:t>，即可弹出打印对话框。</w:t>
      </w:r>
    </w:p>
    <w:p>
      <w:pPr>
        <w:pStyle w:val="18"/>
        <w:ind w:left="1620"/>
      </w:pPr>
      <w:r>
        <w:drawing>
          <wp:inline distT="0" distB="0" distL="0" distR="0">
            <wp:extent cx="5274310" cy="1861820"/>
            <wp:effectExtent l="0" t="0" r="2540" b="508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选择</w:t>
      </w:r>
      <w:r>
        <w:rPr>
          <w:rFonts w:hint="eastAsia"/>
          <w:b/>
          <w:bCs/>
        </w:rPr>
        <w:t>需要打印的模板</w:t>
      </w:r>
      <w:r>
        <w:rPr>
          <w:rFonts w:hint="eastAsia"/>
        </w:rPr>
        <w:t>，其中部分模板还需要</w:t>
      </w:r>
      <w:r>
        <w:rPr>
          <w:rFonts w:hint="eastAsia"/>
          <w:b/>
          <w:bCs/>
        </w:rPr>
        <w:t>选择供应商</w:t>
      </w:r>
      <w:r>
        <w:rPr>
          <w:rFonts w:hint="eastAsia"/>
        </w:rPr>
        <w:t>（比如合同），再点击</w:t>
      </w:r>
      <w:r>
        <w:rPr>
          <w:rFonts w:hint="eastAsia"/>
          <w:b/>
          <w:bCs/>
        </w:rPr>
        <w:t>“打印预览”</w:t>
      </w:r>
      <w:r>
        <w:rPr>
          <w:rFonts w:hint="eastAsia"/>
        </w:rPr>
        <w:t>，即可调起浏览器的打印对话框。</w:t>
      </w:r>
    </w:p>
    <w:p>
      <w:pPr>
        <w:pStyle w:val="18"/>
        <w:ind w:left="1620"/>
      </w:pPr>
      <w:r>
        <w:drawing>
          <wp:inline distT="0" distB="0" distL="0" distR="0">
            <wp:extent cx="5274310" cy="2905760"/>
            <wp:effectExtent l="0" t="0" r="254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20" w:name="_Toc13217"/>
      <w:bookmarkStart w:id="121" w:name="_Toc20788"/>
      <w:bookmarkStart w:id="122" w:name="_Toc5821"/>
      <w:r>
        <w:rPr>
          <w:rFonts w:hint="eastAsia"/>
        </w:rPr>
        <w:t>导出</w:t>
      </w:r>
      <w:bookmarkEnd w:id="120"/>
      <w:bookmarkEnd w:id="121"/>
      <w:bookmarkEnd w:id="122"/>
    </w:p>
    <w:p>
      <w:pPr>
        <w:pStyle w:val="18"/>
      </w:pPr>
      <w:r>
        <w:rPr>
          <w:rFonts w:hint="eastAsia"/>
        </w:rPr>
        <w:t>系统目前提供了</w:t>
      </w:r>
      <w:r>
        <w:t>3</w:t>
      </w:r>
      <w:r>
        <w:rPr>
          <w:rFonts w:hint="eastAsia"/>
        </w:rPr>
        <w:t>种导出方式：导出申购单、导出申购明细和导出竞价清单。</w:t>
      </w:r>
    </w:p>
    <w:p>
      <w:pPr>
        <w:pStyle w:val="18"/>
      </w:pPr>
      <w:r>
        <w:rPr>
          <w:rFonts w:hint="eastAsia"/>
        </w:rPr>
        <w:t>其中，</w:t>
      </w:r>
      <w:r>
        <w:rPr>
          <w:rFonts w:hint="eastAsia"/>
          <w:b/>
          <w:bCs/>
        </w:rPr>
        <w:t>“导出申购单”</w:t>
      </w:r>
      <w:r>
        <w:rPr>
          <w:rFonts w:hint="eastAsia"/>
        </w:rPr>
        <w:t>和</w:t>
      </w:r>
      <w:r>
        <w:rPr>
          <w:rFonts w:hint="eastAsia"/>
          <w:b/>
          <w:bCs/>
        </w:rPr>
        <w:t>“导出申购明细”</w:t>
      </w:r>
      <w:r>
        <w:rPr>
          <w:rFonts w:hint="eastAsia"/>
        </w:rPr>
        <w:t>导出的内容与当前查询条件相关，比如查询条件只查询近一个月发布的申购单，则导出的E</w:t>
      </w:r>
      <w:r>
        <w:t>XCEL</w:t>
      </w:r>
      <w:r>
        <w:rPr>
          <w:rFonts w:hint="eastAsia"/>
        </w:rPr>
        <w:t>则只包含最近一个月发布的申购单的数据。</w:t>
      </w:r>
    </w:p>
    <w:p>
      <w:pPr>
        <w:pStyle w:val="18"/>
      </w:pPr>
      <w:r>
        <w:rPr>
          <w:rFonts w:hint="eastAsia"/>
        </w:rPr>
        <w:t>而</w:t>
      </w:r>
      <w:r>
        <w:rPr>
          <w:rFonts w:hint="eastAsia"/>
          <w:b/>
          <w:bCs/>
        </w:rPr>
        <w:t>导出竞价清单</w:t>
      </w:r>
      <w:r>
        <w:rPr>
          <w:rFonts w:hint="eastAsia"/>
        </w:rPr>
        <w:t>则是针对单个申购单的操作，只有申购单在</w:t>
      </w:r>
      <w:r>
        <w:rPr>
          <w:rFonts w:hint="eastAsia"/>
          <w:b/>
          <w:bCs/>
        </w:rPr>
        <w:t>用户初选以及之后</w:t>
      </w:r>
      <w:r>
        <w:rPr>
          <w:rFonts w:hint="eastAsia"/>
        </w:rPr>
        <w:t>的节点才能够导出竞价清单。</w:t>
      </w:r>
    </w:p>
    <w:p>
      <w:pPr>
        <w:pStyle w:val="18"/>
      </w:pPr>
      <w:r>
        <w:rPr>
          <w:rFonts w:hint="eastAsia"/>
        </w:rPr>
        <w:t>具体操作如下：</w:t>
      </w:r>
    </w:p>
    <w:p>
      <w:pPr>
        <w:pStyle w:val="18"/>
        <w:numPr>
          <w:ilvl w:val="3"/>
          <w:numId w:val="1"/>
        </w:numPr>
        <w:rPr>
          <w:b/>
          <w:bCs/>
        </w:rPr>
      </w:pPr>
      <w:r>
        <w:rPr>
          <w:rFonts w:hint="eastAsia"/>
          <w:b/>
          <w:bCs/>
        </w:rPr>
        <w:t>导出申购单</w:t>
      </w:r>
    </w:p>
    <w:p>
      <w:pPr>
        <w:pStyle w:val="18"/>
        <w:ind w:left="1620"/>
      </w:pPr>
      <w:bookmarkStart w:id="123" w:name="_Hlk25596993"/>
      <w:r>
        <w:rPr>
          <w:rFonts w:hint="eastAsia"/>
        </w:rPr>
        <w:t>通过设置查询条件筛选出需要导出的数据，点击</w:t>
      </w:r>
      <w:r>
        <w:rPr>
          <w:rFonts w:hint="eastAsia"/>
          <w:b/>
          <w:bCs/>
        </w:rPr>
        <w:t>“导出申购单”</w:t>
      </w:r>
      <w:r>
        <w:rPr>
          <w:rFonts w:hint="eastAsia"/>
        </w:rPr>
        <w:t>，浏览器即会自动下载导出的E</w:t>
      </w:r>
      <w:r>
        <w:t>XCEL</w:t>
      </w:r>
      <w:r>
        <w:rPr>
          <w:rFonts w:hint="eastAsia"/>
        </w:rPr>
        <w:t>文件。导出数据每一行即为一条申购单。</w:t>
      </w:r>
    </w:p>
    <w:p>
      <w:pPr>
        <w:pStyle w:val="18"/>
        <w:ind w:left="1620"/>
      </w:pPr>
      <w:r>
        <w:rPr>
          <w:rFonts w:hint="eastAsia"/>
        </w:rPr>
        <w:t>（提示：当设置的筛选条件比较宽松时，返回的数据量比较大，因此文件下载的响应时间较长，请耐心等待）</w:t>
      </w:r>
    </w:p>
    <w:bookmarkEnd w:id="123"/>
    <w:p>
      <w:pPr>
        <w:pStyle w:val="18"/>
        <w:ind w:left="1620"/>
      </w:pPr>
      <w:r>
        <w:drawing>
          <wp:inline distT="0" distB="0" distL="0" distR="0">
            <wp:extent cx="5274310" cy="74358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  <w:rPr>
          <w:b/>
          <w:bCs/>
        </w:rPr>
      </w:pPr>
      <w:r>
        <w:rPr>
          <w:rFonts w:hint="eastAsia"/>
          <w:b/>
          <w:bCs/>
        </w:rPr>
        <w:t>导出申购明细</w:t>
      </w:r>
    </w:p>
    <w:p>
      <w:pPr>
        <w:pStyle w:val="18"/>
        <w:ind w:left="1620"/>
      </w:pPr>
      <w:r>
        <w:rPr>
          <w:rFonts w:hint="eastAsia"/>
        </w:rPr>
        <w:t>通过设置查询条件筛选出需要导出的数据，点击</w:t>
      </w:r>
      <w:r>
        <w:rPr>
          <w:rFonts w:hint="eastAsia"/>
          <w:b/>
          <w:bCs/>
        </w:rPr>
        <w:t>“导出申购明细”</w:t>
      </w:r>
      <w:r>
        <w:rPr>
          <w:rFonts w:hint="eastAsia"/>
        </w:rPr>
        <w:t>，浏览器即会自动下载导出的</w:t>
      </w:r>
      <w:r>
        <w:t>EXCEL文件。</w:t>
      </w:r>
      <w:r>
        <w:rPr>
          <w:rFonts w:hint="eastAsia"/>
        </w:rPr>
        <w:t>导出数据每一行即为一个采购项（申购单明细项）。</w:t>
      </w:r>
    </w:p>
    <w:p>
      <w:pPr>
        <w:pStyle w:val="18"/>
        <w:ind w:left="1620"/>
      </w:pPr>
      <w:r>
        <w:rPr>
          <w:rFonts w:hint="eastAsia"/>
        </w:rPr>
        <w:t>（提示：当设置的筛选条件比较宽松时，返回的数据量比较大，因此文件下载的响应时间较长，请耐心等待）</w:t>
      </w:r>
    </w:p>
    <w:p>
      <w:pPr>
        <w:pStyle w:val="18"/>
        <w:ind w:left="1620"/>
      </w:pPr>
      <w:r>
        <w:drawing>
          <wp:inline distT="0" distB="0" distL="0" distR="0">
            <wp:extent cx="5274310" cy="775970"/>
            <wp:effectExtent l="0" t="0" r="2540" b="508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  <w:rPr>
          <w:b/>
          <w:bCs/>
        </w:rPr>
      </w:pPr>
      <w:r>
        <w:rPr>
          <w:rFonts w:hint="eastAsia"/>
          <w:b/>
          <w:bCs/>
        </w:rPr>
        <w:t>导出竞价清单</w:t>
      </w:r>
    </w:p>
    <w:p>
      <w:pPr>
        <w:pStyle w:val="18"/>
        <w:ind w:left="1620"/>
      </w:pPr>
      <w:r>
        <w:rPr>
          <w:rFonts w:hint="eastAsia"/>
        </w:rPr>
        <w:t>在综合查询结果页找到需要导出清单的申购单，将鼠标移动至对应的</w:t>
      </w:r>
      <w:r>
        <w:rPr>
          <w:rFonts w:hint="eastAsia"/>
          <w:b/>
          <w:bCs/>
        </w:rPr>
        <w:t>“更多操作”</w:t>
      </w:r>
      <w:r>
        <w:rPr>
          <w:rFonts w:hint="eastAsia"/>
        </w:rPr>
        <w:t>按钮上，在弹出的下拉菜单点击“导出”，在弹出的对话框中选择</w:t>
      </w:r>
      <w:r>
        <w:rPr>
          <w:rFonts w:hint="eastAsia"/>
          <w:b/>
          <w:bCs/>
        </w:rPr>
        <w:t>“竞价清单”</w:t>
      </w:r>
      <w:r>
        <w:rPr>
          <w:rFonts w:hint="eastAsia"/>
        </w:rPr>
        <w:t>，点击</w:t>
      </w:r>
      <w:r>
        <w:rPr>
          <w:rFonts w:hint="eastAsia"/>
          <w:b/>
          <w:bCs/>
        </w:rPr>
        <w:t>“导出”</w:t>
      </w:r>
      <w:r>
        <w:rPr>
          <w:rFonts w:hint="eastAsia"/>
        </w:rPr>
        <w:t>，浏览器即会自动下载导出的</w:t>
      </w:r>
      <w:r>
        <w:rPr>
          <w:rFonts w:hint="eastAsia"/>
          <w:b/>
          <w:bCs/>
        </w:rPr>
        <w:t>Word</w:t>
      </w:r>
      <w:r>
        <w:t>文件</w:t>
      </w:r>
      <w:r>
        <w:rPr>
          <w:rFonts w:hint="eastAsia"/>
        </w:rPr>
        <w:t>。</w:t>
      </w:r>
    </w:p>
    <w:p>
      <w:pPr>
        <w:pStyle w:val="18"/>
        <w:ind w:left="1620"/>
        <w:rPr>
          <w:rFonts w:hint="eastAsia"/>
        </w:rPr>
      </w:pPr>
      <w:r>
        <w:rPr>
          <w:rFonts w:hint="eastAsia"/>
        </w:rPr>
        <w:t>（导出的W</w:t>
      </w:r>
      <w:r>
        <w:t>ORD</w:t>
      </w:r>
      <w:r>
        <w:rPr>
          <w:rFonts w:hint="eastAsia"/>
        </w:rPr>
        <w:t>文件与打印功能中的</w:t>
      </w:r>
      <w:r>
        <w:rPr>
          <w:rFonts w:hint="eastAsia"/>
          <w:b/>
          <w:bCs/>
        </w:rPr>
        <w:t>“打印竞价清单”</w:t>
      </w:r>
      <w:r>
        <w:rPr>
          <w:rFonts w:hint="eastAsia"/>
        </w:rPr>
        <w:t>的内容是一致的）</w:t>
      </w:r>
    </w:p>
    <w:p>
      <w:pPr>
        <w:pStyle w:val="18"/>
        <w:ind w:left="1620"/>
      </w:pPr>
      <w:r>
        <w:drawing>
          <wp:inline distT="0" distB="0" distL="0" distR="0">
            <wp:extent cx="5274310" cy="179641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1620"/>
        <w:rPr>
          <w:rFonts w:hint="eastAsia"/>
        </w:rPr>
      </w:pPr>
      <w:r>
        <w:drawing>
          <wp:inline distT="0" distB="0" distL="0" distR="0">
            <wp:extent cx="4110990" cy="1713865"/>
            <wp:effectExtent l="0" t="0" r="381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42527" cy="17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24" w:name="_Toc24133"/>
      <w:bookmarkStart w:id="125" w:name="_Toc18731"/>
      <w:bookmarkStart w:id="126" w:name="_Toc9963"/>
      <w:r>
        <w:rPr>
          <w:rFonts w:hint="eastAsia"/>
        </w:rPr>
        <w:t>查看申购单详情</w:t>
      </w:r>
      <w:bookmarkEnd w:id="124"/>
      <w:bookmarkEnd w:id="125"/>
      <w:bookmarkEnd w:id="126"/>
    </w:p>
    <w:p>
      <w:pPr>
        <w:pStyle w:val="18"/>
      </w:pPr>
      <w:r>
        <w:rPr>
          <w:rFonts w:hint="eastAsia"/>
        </w:rPr>
        <w:t>在综合查询的查询页，找到需要查看的申购单，点击</w:t>
      </w:r>
      <w:r>
        <w:rPr>
          <w:rFonts w:hint="eastAsia"/>
          <w:b/>
          <w:bCs/>
        </w:rPr>
        <w:t>申购单所在行</w:t>
      </w:r>
      <w:r>
        <w:rPr>
          <w:rFonts w:hint="eastAsia"/>
        </w:rPr>
        <w:t>，或者将鼠标移动到</w:t>
      </w:r>
      <w:r>
        <w:rPr>
          <w:rFonts w:hint="eastAsia"/>
          <w:b/>
          <w:bCs/>
        </w:rPr>
        <w:t>“更多操作”</w:t>
      </w:r>
      <w:r>
        <w:rPr>
          <w:rFonts w:hint="eastAsia"/>
        </w:rPr>
        <w:t>，在弹出的下拉菜单中点击</w:t>
      </w:r>
      <w:r>
        <w:rPr>
          <w:rFonts w:hint="eastAsia"/>
          <w:b/>
          <w:bCs/>
        </w:rPr>
        <w:t>“查看”</w:t>
      </w:r>
      <w:r>
        <w:rPr>
          <w:rFonts w:hint="eastAsia"/>
        </w:rPr>
        <w:t>，即可进入申购单详情页。</w:t>
      </w:r>
    </w:p>
    <w:p>
      <w:pPr>
        <w:pStyle w:val="18"/>
      </w:pPr>
      <w:r>
        <w:drawing>
          <wp:inline distT="0" distB="0" distL="0" distR="0">
            <wp:extent cx="5274310" cy="185483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rFonts w:hint="eastAsia"/>
        </w:rPr>
      </w:pPr>
      <w:r>
        <w:rPr>
          <w:rFonts w:hint="eastAsia"/>
        </w:rPr>
        <w:t>综合查询的申购单详情页与</w:t>
      </w:r>
      <w:r>
        <w:rPr>
          <w:rFonts w:hint="eastAsia"/>
          <w:b/>
          <w:bCs/>
        </w:rPr>
        <w:t>结果审批详情页（包括报价汇总、终止交易等功能）</w:t>
      </w:r>
      <w:r>
        <w:rPr>
          <w:rFonts w:hint="eastAsia"/>
        </w:rPr>
        <w:t>类似，请参考结果审批的相关介绍，在此不再赘述。</w:t>
      </w:r>
    </w:p>
    <w:p>
      <w:pPr>
        <w:pStyle w:val="15"/>
        <w:ind w:left="630" w:leftChars="0" w:firstLineChars="0"/>
      </w:pPr>
      <w:bookmarkStart w:id="127" w:name="_Toc1157"/>
      <w:bookmarkStart w:id="128" w:name="_Toc8621"/>
      <w:bookmarkStart w:id="129" w:name="_Toc28822"/>
      <w:r>
        <w:rPr>
          <w:rFonts w:hint="eastAsia"/>
        </w:rPr>
        <w:t>打印申购单详情页面</w:t>
      </w:r>
      <w:bookmarkEnd w:id="127"/>
      <w:bookmarkEnd w:id="128"/>
      <w:bookmarkEnd w:id="129"/>
    </w:p>
    <w:p>
      <w:pPr>
        <w:pStyle w:val="18"/>
      </w:pPr>
      <w:r>
        <w:rPr>
          <w:rFonts w:hint="eastAsia"/>
        </w:rPr>
        <w:t>点击右下角的“打印”按钮，即可弹出详情打印页面。</w:t>
      </w:r>
    </w:p>
    <w:p>
      <w:pPr>
        <w:pStyle w:val="18"/>
      </w:pPr>
      <w:r>
        <w:drawing>
          <wp:inline distT="0" distB="0" distL="0" distR="0">
            <wp:extent cx="3914140" cy="118618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56794" cy="119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rPr>
          <w:rFonts w:hint="eastAsia"/>
        </w:rPr>
        <w:t>点击详情打印页面右下角的</w:t>
      </w:r>
      <w:r>
        <w:rPr>
          <w:rFonts w:hint="eastAsia"/>
          <w:b/>
          <w:bCs/>
        </w:rPr>
        <w:t>“打印”</w:t>
      </w:r>
      <w:r>
        <w:rPr>
          <w:rFonts w:hint="eastAsia"/>
        </w:rPr>
        <w:t>按钮，即可调起浏览器的打印对话框。</w:t>
      </w:r>
    </w:p>
    <w:p>
      <w:pPr>
        <w:pStyle w:val="18"/>
        <w:rPr>
          <w:rFonts w:hint="eastAsia"/>
        </w:rPr>
      </w:pPr>
      <w:r>
        <w:drawing>
          <wp:inline distT="0" distB="0" distL="0" distR="0">
            <wp:extent cx="4985385" cy="1720215"/>
            <wp:effectExtent l="0" t="0" r="571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0"/>
                    <a:srcRect t="40793"/>
                    <a:stretch>
                      <a:fillRect/>
                    </a:stretch>
                  </pic:blipFill>
                  <pic:spPr>
                    <a:xfrm>
                      <a:off x="0" y="0"/>
                      <a:ext cx="5018806" cy="17318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30" w:name="_Toc26218"/>
      <w:bookmarkStart w:id="131" w:name="_Toc27252"/>
      <w:bookmarkStart w:id="132" w:name="_Toc10518"/>
      <w:r>
        <w:rPr>
          <w:rFonts w:hint="eastAsia"/>
        </w:rPr>
        <w:t>上传补充附件</w:t>
      </w:r>
      <w:bookmarkEnd w:id="130"/>
      <w:bookmarkEnd w:id="131"/>
      <w:bookmarkEnd w:id="132"/>
    </w:p>
    <w:p>
      <w:pPr>
        <w:pStyle w:val="18"/>
        <w:numPr>
          <w:ilvl w:val="3"/>
          <w:numId w:val="1"/>
        </w:numPr>
      </w:pPr>
      <w:r>
        <w:rPr>
          <w:rFonts w:hint="eastAsia"/>
        </w:rPr>
        <w:t>管理员可以在综合查询详情页针对</w:t>
      </w:r>
      <w:r>
        <w:rPr>
          <w:rFonts w:hint="eastAsia"/>
          <w:b/>
          <w:bCs/>
        </w:rPr>
        <w:t>申购单</w:t>
      </w:r>
      <w:r>
        <w:rPr>
          <w:rFonts w:hint="eastAsia"/>
        </w:rPr>
        <w:t>或者</w:t>
      </w:r>
      <w:r>
        <w:rPr>
          <w:rFonts w:hint="eastAsia"/>
          <w:b/>
          <w:bCs/>
        </w:rPr>
        <w:t>单个采购项</w:t>
      </w:r>
      <w:r>
        <w:rPr>
          <w:rFonts w:hint="eastAsia"/>
        </w:rPr>
        <w:t>上传</w:t>
      </w:r>
      <w:r>
        <w:rPr>
          <w:rFonts w:hint="eastAsia"/>
          <w:b/>
          <w:bCs/>
        </w:rPr>
        <w:t>补充附件</w:t>
      </w:r>
      <w:r>
        <w:rPr>
          <w:rFonts w:hint="eastAsia"/>
        </w:rPr>
        <w:t>（比如上传盖章合同扫描件）。</w:t>
      </w:r>
    </w:p>
    <w:p>
      <w:pPr>
        <w:pStyle w:val="18"/>
        <w:ind w:left="1620"/>
        <w:rPr>
          <w:rFonts w:hint="eastAsia"/>
        </w:rPr>
      </w:pPr>
      <w:r>
        <w:rPr>
          <w:rFonts w:hint="eastAsia"/>
        </w:rPr>
        <w:t>（注意：</w:t>
      </w:r>
      <w:r>
        <w:rPr>
          <w:rFonts w:hint="eastAsia"/>
          <w:b/>
          <w:bCs/>
        </w:rPr>
        <w:t>补充附件</w:t>
      </w:r>
      <w:r>
        <w:rPr>
          <w:rFonts w:hint="eastAsia"/>
        </w:rPr>
        <w:t>与申购人上传的</w:t>
      </w:r>
      <w:r>
        <w:rPr>
          <w:rFonts w:hint="eastAsia"/>
          <w:b/>
          <w:bCs/>
        </w:rPr>
        <w:t>“申购附件”</w:t>
      </w:r>
      <w:r>
        <w:rPr>
          <w:rFonts w:hint="eastAsia"/>
        </w:rPr>
        <w:t>不同，供应商能看到</w:t>
      </w:r>
      <w:r>
        <w:rPr>
          <w:rFonts w:hint="eastAsia"/>
          <w:b/>
          <w:bCs/>
        </w:rPr>
        <w:t>申购附件</w:t>
      </w:r>
      <w:r>
        <w:rPr>
          <w:rFonts w:hint="eastAsia"/>
        </w:rPr>
        <w:t>，但不能看到</w:t>
      </w:r>
      <w:r>
        <w:rPr>
          <w:rFonts w:hint="eastAsia"/>
          <w:b/>
          <w:bCs/>
        </w:rPr>
        <w:t>补充附件</w:t>
      </w:r>
      <w:r>
        <w:rPr>
          <w:rFonts w:hint="eastAsia"/>
        </w:rPr>
        <w:t>）</w:t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点击右下角的</w:t>
      </w:r>
      <w:r>
        <w:rPr>
          <w:rFonts w:hint="eastAsia"/>
          <w:b/>
          <w:bCs/>
        </w:rPr>
        <w:t>“上传附件”</w:t>
      </w:r>
      <w:r>
        <w:rPr>
          <w:rFonts w:hint="eastAsia"/>
        </w:rPr>
        <w:t>（针对</w:t>
      </w:r>
      <w:r>
        <w:rPr>
          <w:rFonts w:hint="eastAsia"/>
          <w:b/>
          <w:bCs/>
        </w:rPr>
        <w:t>申购单</w:t>
      </w:r>
      <w:r>
        <w:rPr>
          <w:rFonts w:hint="eastAsia"/>
        </w:rPr>
        <w:t>上传），或者采购项对应的</w:t>
      </w:r>
      <w:r>
        <w:rPr>
          <w:rFonts w:hint="eastAsia"/>
          <w:b/>
          <w:bCs/>
        </w:rPr>
        <w:t>“上传附件”</w:t>
      </w:r>
      <w:r>
        <w:rPr>
          <w:rFonts w:hint="eastAsia"/>
        </w:rPr>
        <w:t>按钮（针对</w:t>
      </w:r>
      <w:r>
        <w:rPr>
          <w:rFonts w:hint="eastAsia"/>
          <w:b/>
          <w:bCs/>
        </w:rPr>
        <w:t>单个采购项</w:t>
      </w:r>
      <w:r>
        <w:rPr>
          <w:rFonts w:hint="eastAsia"/>
        </w:rPr>
        <w:t>上传），会弹出附件上传对话框。</w:t>
      </w:r>
    </w:p>
    <w:p>
      <w:pPr>
        <w:pStyle w:val="18"/>
        <w:ind w:left="1620"/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在附件上传对话框中，</w:t>
      </w:r>
      <w:r>
        <w:t xml:space="preserve"> </w:t>
      </w:r>
      <w:r>
        <w:rPr>
          <w:rFonts w:hint="eastAsia"/>
        </w:rPr>
        <w:t>可以将文件拖到</w:t>
      </w:r>
      <w:r>
        <w:rPr>
          <w:rFonts w:hint="eastAsia"/>
          <w:b/>
          <w:bCs/>
        </w:rPr>
        <w:t>蓝色虚线框</w:t>
      </w:r>
      <w:r>
        <w:rPr>
          <w:rFonts w:hint="eastAsia"/>
        </w:rPr>
        <w:t>内，或者使用</w:t>
      </w:r>
      <w:r>
        <w:rPr>
          <w:rFonts w:hint="eastAsia"/>
          <w:b/>
          <w:bCs/>
        </w:rPr>
        <w:t>“点击上传”</w:t>
      </w:r>
      <w:r>
        <w:rPr>
          <w:rFonts w:hint="eastAsia"/>
        </w:rPr>
        <w:t>选择需要上传的文件，然后对话框会显示该文件的文件名和上传进度，只有文件名后出现</w:t>
      </w:r>
      <w:r>
        <w:rPr>
          <w:rFonts w:hint="eastAsia"/>
          <w:b/>
          <w:bCs/>
        </w:rPr>
        <w:t>绿色打勾符号</w:t>
      </w:r>
      <w:r>
        <w:rPr>
          <w:rFonts w:hint="eastAsia"/>
        </w:rPr>
        <w:t>，才表明上传成功。</w:t>
      </w:r>
    </w:p>
    <w:p>
      <w:pPr>
        <w:pStyle w:val="18"/>
        <w:ind w:left="1620"/>
        <w:rPr>
          <w:rFonts w:hint="eastAsia"/>
        </w:rPr>
      </w:pPr>
      <w:r>
        <w:rPr>
          <w:rFonts w:hint="eastAsia"/>
        </w:rPr>
        <w:t>上传成功后，点击</w:t>
      </w:r>
      <w:r>
        <w:rPr>
          <w:rFonts w:hint="eastAsia"/>
          <w:b/>
          <w:bCs/>
        </w:rPr>
        <w:t>“确认”</w:t>
      </w:r>
      <w:r>
        <w:rPr>
          <w:rFonts w:hint="eastAsia"/>
        </w:rPr>
        <w:t>，该附件才会保存至申购单/采购项。</w:t>
      </w:r>
    </w:p>
    <w:p>
      <w:pPr>
        <w:pStyle w:val="18"/>
        <w:ind w:left="1620"/>
        <w:rPr>
          <w:rFonts w:hint="eastAsia"/>
        </w:rPr>
      </w:pPr>
      <w:r>
        <w:drawing>
          <wp:inline distT="0" distB="0" distL="0" distR="0">
            <wp:extent cx="3034665" cy="278257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1871" cy="27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针对</w:t>
      </w:r>
      <w:r>
        <w:rPr>
          <w:rFonts w:hint="eastAsia"/>
          <w:b/>
          <w:bCs/>
        </w:rPr>
        <w:t>申购单</w:t>
      </w:r>
      <w:r>
        <w:rPr>
          <w:rFonts w:hint="eastAsia"/>
        </w:rPr>
        <w:t>上传的附件，可以在详情页</w:t>
      </w:r>
      <w:r>
        <w:rPr>
          <w:rFonts w:hint="eastAsia"/>
          <w:b/>
          <w:bCs/>
        </w:rPr>
        <w:t>“申购项目”</w:t>
      </w:r>
      <w:r>
        <w:rPr>
          <w:rFonts w:hint="eastAsia"/>
        </w:rPr>
        <w:t>右侧，点击</w:t>
      </w:r>
      <w:r>
        <w:rPr>
          <w:rFonts w:hint="eastAsia"/>
          <w:b/>
          <w:bCs/>
        </w:rPr>
        <w:t>“申购单附件”</w:t>
      </w:r>
      <w:r>
        <w:rPr>
          <w:rFonts w:hint="eastAsia"/>
        </w:rPr>
        <w:t>，查看已上传的</w:t>
      </w:r>
      <w:r>
        <w:rPr>
          <w:rFonts w:hint="eastAsia"/>
          <w:b/>
          <w:bCs/>
        </w:rPr>
        <w:t>补充附件</w:t>
      </w:r>
      <w:r>
        <w:rPr>
          <w:rFonts w:hint="eastAsia"/>
        </w:rPr>
        <w:t>，点击文件名可以下载该附件。</w:t>
      </w:r>
    </w:p>
    <w:p>
      <w:pPr>
        <w:pStyle w:val="18"/>
        <w:ind w:left="1620"/>
        <w:rPr>
          <w:rFonts w:hint="eastAsia"/>
        </w:rPr>
      </w:pPr>
      <w:r>
        <w:drawing>
          <wp:inline distT="0" distB="0" distL="0" distR="0">
            <wp:extent cx="3244215" cy="758825"/>
            <wp:effectExtent l="0" t="0" r="0" b="31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44841" cy="7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针对</w:t>
      </w:r>
      <w:r>
        <w:rPr>
          <w:rFonts w:hint="eastAsia"/>
          <w:b/>
          <w:bCs/>
        </w:rPr>
        <w:t>单个采购项</w:t>
      </w:r>
      <w:r>
        <w:rPr>
          <w:rFonts w:hint="eastAsia"/>
        </w:rPr>
        <w:t>上传的附件，则会显示在综合查询详情页采购项对应的</w:t>
      </w:r>
      <w:r>
        <w:rPr>
          <w:rFonts w:hint="eastAsia"/>
          <w:b/>
          <w:bCs/>
        </w:rPr>
        <w:t>“补充附件”</w:t>
      </w:r>
      <w:r>
        <w:rPr>
          <w:rFonts w:hint="eastAsia"/>
        </w:rPr>
        <w:t>栏，点击补充附件</w:t>
      </w:r>
    </w:p>
    <w:p>
      <w:pPr>
        <w:pStyle w:val="18"/>
        <w:ind w:left="1620"/>
        <w:rPr>
          <w:rFonts w:hint="eastAsia"/>
        </w:rPr>
      </w:pPr>
      <w:r>
        <w:drawing>
          <wp:inline distT="0" distB="0" distL="0" distR="0">
            <wp:extent cx="4890135" cy="1229995"/>
            <wp:effectExtent l="0" t="0" r="5715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99860" cy="125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bookmarkStart w:id="133" w:name="_Toc39"/>
      <w:bookmarkStart w:id="134" w:name="_Toc7486"/>
      <w:bookmarkStart w:id="135" w:name="_Toc8507"/>
      <w:r>
        <w:rPr>
          <w:rFonts w:hint="eastAsia"/>
        </w:rPr>
        <w:t>终止审批</w:t>
      </w:r>
      <w:bookmarkEnd w:id="133"/>
      <w:bookmarkEnd w:id="134"/>
      <w:bookmarkEnd w:id="135"/>
    </w:p>
    <w:p>
      <w:pPr>
        <w:pStyle w:val="15"/>
        <w:ind w:left="630" w:leftChars="0" w:firstLineChars="0"/>
      </w:pPr>
      <w:bookmarkStart w:id="136" w:name="_Toc23908"/>
      <w:bookmarkStart w:id="137" w:name="_Toc29684"/>
      <w:bookmarkStart w:id="138" w:name="_Toc10742"/>
      <w:r>
        <w:rPr>
          <w:rFonts w:hint="eastAsia"/>
        </w:rPr>
        <w:t>终止审批功能简介</w:t>
      </w:r>
      <w:bookmarkEnd w:id="136"/>
      <w:bookmarkEnd w:id="137"/>
      <w:bookmarkEnd w:id="138"/>
    </w:p>
    <w:p>
      <w:pPr>
        <w:pStyle w:val="18"/>
      </w:pPr>
      <w:r>
        <w:rPr>
          <w:rFonts w:hint="eastAsia"/>
        </w:rPr>
        <w:t>用户提交</w:t>
      </w:r>
      <w:r>
        <w:rPr>
          <w:rFonts w:hint="eastAsia"/>
          <w:b/>
          <w:bCs/>
        </w:rPr>
        <w:t>终止申请</w:t>
      </w:r>
      <w:r>
        <w:rPr>
          <w:rFonts w:hint="eastAsia"/>
        </w:rPr>
        <w:t>后，管理员可以在</w:t>
      </w:r>
      <w:r>
        <w:rPr>
          <w:rFonts w:hint="eastAsia"/>
          <w:b/>
          <w:bCs/>
        </w:rPr>
        <w:t>“终止审批</w:t>
      </w:r>
      <w:r>
        <w:rPr>
          <w:rFonts w:hint="eastAsia"/>
        </w:rPr>
        <w:t>”菜单中对用户的申请进行审批。</w:t>
      </w:r>
    </w:p>
    <w:p>
      <w:pPr>
        <w:pStyle w:val="18"/>
        <w:numPr>
          <w:ilvl w:val="3"/>
          <w:numId w:val="1"/>
        </w:numPr>
      </w:pPr>
      <w:r>
        <w:rPr>
          <w:rFonts w:hint="eastAsia"/>
        </w:rPr>
        <w:t>若终止审批</w:t>
      </w:r>
      <w:r>
        <w:rPr>
          <w:rFonts w:hint="eastAsia"/>
          <w:b/>
          <w:bCs/>
        </w:rPr>
        <w:t>通过</w:t>
      </w:r>
      <w:r>
        <w:rPr>
          <w:rFonts w:hint="eastAsia"/>
        </w:rPr>
        <w:t>，则用户申请终止的</w:t>
      </w:r>
      <w:r>
        <w:rPr>
          <w:rFonts w:hint="eastAsia"/>
          <w:b/>
          <w:bCs/>
        </w:rPr>
        <w:t>采购项</w:t>
      </w:r>
      <w:r>
        <w:rPr>
          <w:rFonts w:hint="eastAsia"/>
        </w:rPr>
        <w:t>会被</w:t>
      </w:r>
      <w:r>
        <w:rPr>
          <w:rFonts w:hint="eastAsia"/>
          <w:b/>
          <w:bCs/>
        </w:rPr>
        <w:t>终止</w:t>
      </w:r>
      <w:r>
        <w:rPr>
          <w:rFonts w:hint="eastAsia"/>
        </w:rPr>
        <w:t>，如果该申购单的</w:t>
      </w:r>
      <w:r>
        <w:rPr>
          <w:rFonts w:hint="eastAsia"/>
          <w:b/>
          <w:bCs/>
        </w:rPr>
        <w:t>全部采购项</w:t>
      </w:r>
      <w:r>
        <w:rPr>
          <w:rFonts w:hint="eastAsia"/>
        </w:rPr>
        <w:t>均已终止，则整个申购单都会被终止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并发布终止公告。</w:t>
      </w:r>
    </w:p>
    <w:p>
      <w:pPr>
        <w:pStyle w:val="18"/>
        <w:numPr>
          <w:ilvl w:val="3"/>
          <w:numId w:val="1"/>
        </w:numPr>
        <w:rPr>
          <w:rFonts w:hint="eastAsia"/>
        </w:rPr>
      </w:pPr>
      <w:r>
        <w:rPr>
          <w:rFonts w:hint="eastAsia"/>
        </w:rPr>
        <w:t>若申请被管理员驳回，则申购单/采购项的状态会恢复到用户</w:t>
      </w:r>
      <w:r>
        <w:rPr>
          <w:rFonts w:hint="eastAsia"/>
          <w:b/>
          <w:bCs/>
        </w:rPr>
        <w:t>申请终止时</w:t>
      </w:r>
      <w:r>
        <w:rPr>
          <w:rFonts w:hint="eastAsia"/>
        </w:rPr>
        <w:t>的状态。</w:t>
      </w:r>
    </w:p>
    <w:p>
      <w:pPr>
        <w:pStyle w:val="15"/>
        <w:ind w:left="630" w:leftChars="0" w:firstLineChars="0"/>
      </w:pPr>
      <w:bookmarkStart w:id="139" w:name="_Toc17463"/>
      <w:bookmarkStart w:id="140" w:name="_Toc24413"/>
      <w:bookmarkStart w:id="141" w:name="_Toc16816"/>
      <w:r>
        <w:rPr>
          <w:rFonts w:hint="eastAsia"/>
        </w:rPr>
        <w:t>查询终止审批申购单</w:t>
      </w:r>
      <w:bookmarkEnd w:id="139"/>
      <w:bookmarkEnd w:id="140"/>
      <w:bookmarkEnd w:id="141"/>
    </w:p>
    <w:p>
      <w:pPr>
        <w:pStyle w:val="18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b/>
          <w:bCs/>
        </w:rPr>
        <w:t>“申购管理”-“终止审批”</w:t>
      </w:r>
      <w:r>
        <w:rPr>
          <w:rFonts w:hint="eastAsia"/>
        </w:rPr>
        <w:t>，即可查看终止审批的申购单。点击</w:t>
      </w:r>
      <w:r>
        <w:rPr>
          <w:rFonts w:hint="eastAsia"/>
          <w:b/>
          <w:bCs/>
        </w:rPr>
        <w:t>查询条件上方</w:t>
      </w:r>
      <w:r>
        <w:rPr>
          <w:rFonts w:hint="eastAsia"/>
        </w:rPr>
        <w:t>的</w:t>
      </w:r>
      <w:r>
        <w:rPr>
          <w:rFonts w:hint="eastAsia"/>
          <w:b/>
          <w:bCs/>
        </w:rPr>
        <w:t>终止审批节点名称</w:t>
      </w:r>
      <w:r>
        <w:rPr>
          <w:rFonts w:hint="eastAsia"/>
        </w:rPr>
        <w:t>（终止一审、终止审批完成等），即可查看处于该终止审批节点的申购单。其中，</w:t>
      </w:r>
      <w:r>
        <w:rPr>
          <w:rFonts w:hint="eastAsia"/>
          <w:b/>
          <w:bCs/>
        </w:rPr>
        <w:t>“终止一审”</w:t>
      </w:r>
      <w:r>
        <w:rPr>
          <w:rFonts w:hint="eastAsia"/>
        </w:rPr>
        <w:t>是指待审批的终止申请，</w:t>
      </w:r>
      <w:r>
        <w:rPr>
          <w:rFonts w:hint="eastAsia"/>
          <w:b/>
          <w:bCs/>
        </w:rPr>
        <w:t>“终止审批完成”</w:t>
      </w:r>
      <w:r>
        <w:rPr>
          <w:rFonts w:hint="eastAsia"/>
        </w:rPr>
        <w:t>则是指已经审批完成的终止申请（包括审批通过和审批驳回）。</w:t>
      </w:r>
    </w:p>
    <w:p>
      <w:pPr>
        <w:pStyle w:val="18"/>
        <w:rPr>
          <w:rFonts w:hint="eastAsia"/>
        </w:rPr>
      </w:pPr>
      <w:r>
        <w:drawing>
          <wp:inline distT="0" distB="0" distL="0" distR="0">
            <wp:extent cx="3419475" cy="2534285"/>
            <wp:effectExtent l="0" t="0" r="952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62706" cy="25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42" w:name="_Toc17497"/>
      <w:bookmarkStart w:id="143" w:name="_Toc28242"/>
      <w:bookmarkStart w:id="144" w:name="_Toc5263"/>
      <w:r>
        <w:rPr>
          <w:rFonts w:hint="eastAsia"/>
        </w:rPr>
        <w:t>查看终止审批详情</w:t>
      </w:r>
      <w:bookmarkEnd w:id="142"/>
      <w:bookmarkEnd w:id="143"/>
      <w:bookmarkEnd w:id="144"/>
    </w:p>
    <w:p>
      <w:pPr>
        <w:pStyle w:val="18"/>
      </w:pPr>
      <w:r>
        <w:rPr>
          <w:rFonts w:hint="eastAsia"/>
        </w:rPr>
        <w:t>点击申购单对应的“查看”按钮，即可查看该申购单的终止审批详情。</w:t>
      </w:r>
    </w:p>
    <w:p>
      <w:pPr>
        <w:pStyle w:val="18"/>
      </w:pPr>
      <w:r>
        <w:drawing>
          <wp:inline distT="0" distB="0" distL="0" distR="0">
            <wp:extent cx="5067300" cy="987425"/>
            <wp:effectExtent l="0" t="0" r="0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6682" cy="1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45" w:name="_Toc4796"/>
      <w:bookmarkStart w:id="146" w:name="_Toc7425"/>
      <w:bookmarkStart w:id="147" w:name="_Toc21158"/>
      <w:r>
        <w:rPr>
          <w:rFonts w:hint="eastAsia"/>
        </w:rPr>
        <w:t>查看用户申请终止理由</w:t>
      </w:r>
      <w:bookmarkEnd w:id="145"/>
      <w:bookmarkEnd w:id="146"/>
      <w:bookmarkEnd w:id="147"/>
    </w:p>
    <w:p>
      <w:pPr>
        <w:pStyle w:val="18"/>
      </w:pPr>
      <w:r>
        <w:rPr>
          <w:rFonts w:hint="eastAsia"/>
        </w:rPr>
        <w:t>在</w:t>
      </w:r>
      <w:r>
        <w:rPr>
          <w:rFonts w:hint="eastAsia"/>
          <w:b/>
          <w:bCs/>
        </w:rPr>
        <w:t>采购项信息的下方</w:t>
      </w:r>
      <w:r>
        <w:rPr>
          <w:rFonts w:hint="eastAsia"/>
        </w:rPr>
        <w:t>展示了申购人申请终止的原因。</w:t>
      </w:r>
    </w:p>
    <w:p>
      <w:pPr>
        <w:pStyle w:val="18"/>
        <w:rPr>
          <w:rFonts w:hint="eastAsia"/>
        </w:rPr>
      </w:pPr>
      <w:r>
        <w:drawing>
          <wp:inline distT="0" distB="0" distL="0" distR="0">
            <wp:extent cx="3962400" cy="1745615"/>
            <wp:effectExtent l="0" t="0" r="0" b="698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65704" cy="17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48" w:name="_Toc18150"/>
      <w:bookmarkStart w:id="149" w:name="_Toc13352"/>
      <w:bookmarkStart w:id="150" w:name="_Toc26487"/>
      <w:r>
        <w:rPr>
          <w:rFonts w:hint="eastAsia"/>
        </w:rPr>
        <w:t>终止审批通过</w:t>
      </w:r>
      <w:bookmarkEnd w:id="148"/>
      <w:bookmarkEnd w:id="149"/>
      <w:bookmarkEnd w:id="150"/>
    </w:p>
    <w:p>
      <w:pPr>
        <w:pStyle w:val="18"/>
      </w:pPr>
      <w:r>
        <w:rPr>
          <w:rFonts w:hint="eastAsia"/>
        </w:rPr>
        <w:t>点击右下角的</w:t>
      </w:r>
      <w:r>
        <w:rPr>
          <w:rFonts w:hint="eastAsia"/>
          <w:b/>
          <w:bCs/>
        </w:rPr>
        <w:t>“终止审批通过”</w:t>
      </w:r>
      <w:r>
        <w:rPr>
          <w:rFonts w:hint="eastAsia"/>
        </w:rPr>
        <w:t>，即可将终止申请转到下一节点，若下一节点为</w:t>
      </w:r>
      <w:r>
        <w:rPr>
          <w:rFonts w:hint="eastAsia"/>
          <w:b/>
          <w:bCs/>
        </w:rPr>
        <w:t>“终止审批完成”</w:t>
      </w:r>
      <w:r>
        <w:rPr>
          <w:rFonts w:hint="eastAsia"/>
        </w:rPr>
        <w:t>，则申请终止的采购项会被终止。如果审核意见未填写，则会填充系统默认的审核意见。</w:t>
      </w:r>
    </w:p>
    <w:p>
      <w:pPr>
        <w:pStyle w:val="18"/>
        <w:rPr>
          <w:rFonts w:hint="eastAsia"/>
        </w:rPr>
      </w:pPr>
      <w:r>
        <w:drawing>
          <wp:inline distT="0" distB="0" distL="0" distR="0">
            <wp:extent cx="4875530" cy="1202055"/>
            <wp:effectExtent l="0" t="0" r="127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57295" cy="12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630" w:leftChars="0" w:firstLineChars="0"/>
      </w:pPr>
      <w:bookmarkStart w:id="151" w:name="_Toc12150"/>
      <w:bookmarkStart w:id="152" w:name="_Toc5559"/>
      <w:bookmarkStart w:id="153" w:name="_Toc20552"/>
      <w:r>
        <w:rPr>
          <w:rFonts w:hint="eastAsia"/>
        </w:rPr>
        <w:t>终止审批驳回</w:t>
      </w:r>
      <w:bookmarkEnd w:id="151"/>
      <w:bookmarkEnd w:id="152"/>
      <w:bookmarkEnd w:id="153"/>
    </w:p>
    <w:p>
      <w:pPr>
        <w:pStyle w:val="18"/>
      </w:pPr>
      <w:r>
        <w:rPr>
          <w:rFonts w:hint="eastAsia"/>
        </w:rPr>
        <w:t>填写</w:t>
      </w:r>
      <w:r>
        <w:rPr>
          <w:rFonts w:hint="eastAsia"/>
          <w:b/>
          <w:bCs/>
        </w:rPr>
        <w:t>审核意见</w:t>
      </w:r>
      <w:r>
        <w:rPr>
          <w:rFonts w:hint="eastAsia"/>
        </w:rPr>
        <w:t>后，点击右下角的</w:t>
      </w:r>
      <w:r>
        <w:rPr>
          <w:rFonts w:hint="eastAsia"/>
          <w:b/>
          <w:bCs/>
        </w:rPr>
        <w:t>“终止审批通过”</w:t>
      </w:r>
      <w:r>
        <w:rPr>
          <w:rFonts w:hint="eastAsia"/>
        </w:rPr>
        <w:t>，即可将终止申请转到上一节点，若当前申请已经处于</w:t>
      </w:r>
      <w:r>
        <w:rPr>
          <w:rFonts w:hint="eastAsia"/>
          <w:b/>
          <w:bCs/>
        </w:rPr>
        <w:t>“终止一审”</w:t>
      </w:r>
      <w:r>
        <w:rPr>
          <w:rFonts w:hint="eastAsia"/>
        </w:rPr>
        <w:t>，则申购单会被恢复到用户</w:t>
      </w:r>
      <w:r>
        <w:rPr>
          <w:rFonts w:hint="eastAsia"/>
          <w:b/>
          <w:bCs/>
        </w:rPr>
        <w:t>申请终止时</w:t>
      </w:r>
      <w:r>
        <w:rPr>
          <w:rFonts w:hint="eastAsia"/>
        </w:rPr>
        <w:t>的状态。</w:t>
      </w:r>
    </w:p>
    <w:p>
      <w:pPr>
        <w:pStyle w:val="18"/>
      </w:pPr>
      <w:r>
        <w:drawing>
          <wp:inline distT="0" distB="0" distL="0" distR="0">
            <wp:extent cx="5274310" cy="137160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2C5FBC"/>
    <w:multiLevelType w:val="multilevel"/>
    <w:tmpl w:val="792C5FBC"/>
    <w:lvl w:ilvl="0" w:tentative="0">
      <w:start w:val="1"/>
      <w:numFmt w:val="decimal"/>
      <w:pStyle w:val="14"/>
      <w:lvlText w:val="%1."/>
      <w:lvlJc w:val="left"/>
      <w:pPr>
        <w:ind w:left="420" w:hanging="420"/>
      </w:pPr>
    </w:lvl>
    <w:lvl w:ilvl="1" w:tentative="0">
      <w:start w:val="1"/>
      <w:numFmt w:val="lowerLetter"/>
      <w:pStyle w:val="15"/>
      <w:lvlText w:val="%2)"/>
      <w:lvlJc w:val="left"/>
      <w:pPr>
        <w:ind w:left="63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(%4)"/>
      <w:lvlJc w:val="left"/>
      <w:pPr>
        <w:ind w:left="1620" w:hanging="36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decimalEnclosedCircle"/>
      <w:lvlText w:val="%6"/>
      <w:lvlJc w:val="left"/>
      <w:pPr>
        <w:ind w:left="24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NiOWY0NzY0NWYzNTE1YjMxMmU5ZjIyOWIyMTk5NjYifQ=="/>
  </w:docVars>
  <w:rsids>
    <w:rsidRoot w:val="003C5134"/>
    <w:rsid w:val="00001064"/>
    <w:rsid w:val="00001A25"/>
    <w:rsid w:val="00001B72"/>
    <w:rsid w:val="000211B1"/>
    <w:rsid w:val="00024AE5"/>
    <w:rsid w:val="00034103"/>
    <w:rsid w:val="00036F3B"/>
    <w:rsid w:val="000370BB"/>
    <w:rsid w:val="00037D4F"/>
    <w:rsid w:val="00037FBC"/>
    <w:rsid w:val="000442CF"/>
    <w:rsid w:val="00044998"/>
    <w:rsid w:val="00045DBE"/>
    <w:rsid w:val="00047FC0"/>
    <w:rsid w:val="00052851"/>
    <w:rsid w:val="00053EBD"/>
    <w:rsid w:val="00055946"/>
    <w:rsid w:val="0005636B"/>
    <w:rsid w:val="00060514"/>
    <w:rsid w:val="00062B6B"/>
    <w:rsid w:val="000674AE"/>
    <w:rsid w:val="00071B69"/>
    <w:rsid w:val="000720BE"/>
    <w:rsid w:val="0007439E"/>
    <w:rsid w:val="0007613E"/>
    <w:rsid w:val="00076F4E"/>
    <w:rsid w:val="00082EBD"/>
    <w:rsid w:val="00083F95"/>
    <w:rsid w:val="00096F35"/>
    <w:rsid w:val="00097E54"/>
    <w:rsid w:val="000A4DC3"/>
    <w:rsid w:val="000B2882"/>
    <w:rsid w:val="000B4E06"/>
    <w:rsid w:val="000B5DBE"/>
    <w:rsid w:val="000B5E90"/>
    <w:rsid w:val="000B6C76"/>
    <w:rsid w:val="000B7C4C"/>
    <w:rsid w:val="000C5737"/>
    <w:rsid w:val="000C60F1"/>
    <w:rsid w:val="000D56E3"/>
    <w:rsid w:val="000D7EE9"/>
    <w:rsid w:val="000E2D95"/>
    <w:rsid w:val="000E3A4A"/>
    <w:rsid w:val="000E535D"/>
    <w:rsid w:val="000E7047"/>
    <w:rsid w:val="000F1D72"/>
    <w:rsid w:val="000F3F48"/>
    <w:rsid w:val="000F5565"/>
    <w:rsid w:val="000F5B7A"/>
    <w:rsid w:val="00105B16"/>
    <w:rsid w:val="00111986"/>
    <w:rsid w:val="00111AE1"/>
    <w:rsid w:val="001133D2"/>
    <w:rsid w:val="00115BB7"/>
    <w:rsid w:val="00120CC1"/>
    <w:rsid w:val="00123635"/>
    <w:rsid w:val="0012472D"/>
    <w:rsid w:val="0012548D"/>
    <w:rsid w:val="00125F59"/>
    <w:rsid w:val="00133EF7"/>
    <w:rsid w:val="00133F61"/>
    <w:rsid w:val="001372C6"/>
    <w:rsid w:val="00140266"/>
    <w:rsid w:val="00141BAC"/>
    <w:rsid w:val="00144728"/>
    <w:rsid w:val="00144C92"/>
    <w:rsid w:val="0014791B"/>
    <w:rsid w:val="00153ABB"/>
    <w:rsid w:val="001560D3"/>
    <w:rsid w:val="00156776"/>
    <w:rsid w:val="001570AA"/>
    <w:rsid w:val="0016502F"/>
    <w:rsid w:val="0017310C"/>
    <w:rsid w:val="0017325E"/>
    <w:rsid w:val="00173C17"/>
    <w:rsid w:val="00175042"/>
    <w:rsid w:val="001759F9"/>
    <w:rsid w:val="00175B78"/>
    <w:rsid w:val="00184F02"/>
    <w:rsid w:val="00190795"/>
    <w:rsid w:val="00192774"/>
    <w:rsid w:val="00193842"/>
    <w:rsid w:val="00193AD5"/>
    <w:rsid w:val="00194D76"/>
    <w:rsid w:val="001A196C"/>
    <w:rsid w:val="001A2BB9"/>
    <w:rsid w:val="001A307F"/>
    <w:rsid w:val="001A481B"/>
    <w:rsid w:val="001A5206"/>
    <w:rsid w:val="001A6197"/>
    <w:rsid w:val="001A6C35"/>
    <w:rsid w:val="001B2ED7"/>
    <w:rsid w:val="001B3ABB"/>
    <w:rsid w:val="001B5E33"/>
    <w:rsid w:val="001B60CC"/>
    <w:rsid w:val="001B7B88"/>
    <w:rsid w:val="001C0246"/>
    <w:rsid w:val="001C1A0D"/>
    <w:rsid w:val="001C775C"/>
    <w:rsid w:val="001D6784"/>
    <w:rsid w:val="001D7FFA"/>
    <w:rsid w:val="001E37BE"/>
    <w:rsid w:val="001E5B14"/>
    <w:rsid w:val="001E69ED"/>
    <w:rsid w:val="001F7CA7"/>
    <w:rsid w:val="00201601"/>
    <w:rsid w:val="00222C1D"/>
    <w:rsid w:val="0022338B"/>
    <w:rsid w:val="00225114"/>
    <w:rsid w:val="00233F0E"/>
    <w:rsid w:val="00236E4C"/>
    <w:rsid w:val="002432E3"/>
    <w:rsid w:val="00244F8E"/>
    <w:rsid w:val="002466C8"/>
    <w:rsid w:val="00263526"/>
    <w:rsid w:val="00263AEA"/>
    <w:rsid w:val="002664A7"/>
    <w:rsid w:val="00271DA1"/>
    <w:rsid w:val="00273A07"/>
    <w:rsid w:val="00277396"/>
    <w:rsid w:val="00283C87"/>
    <w:rsid w:val="00285672"/>
    <w:rsid w:val="002856CD"/>
    <w:rsid w:val="00287EE0"/>
    <w:rsid w:val="00292B79"/>
    <w:rsid w:val="00293F01"/>
    <w:rsid w:val="002A1448"/>
    <w:rsid w:val="002A2BDC"/>
    <w:rsid w:val="002A5565"/>
    <w:rsid w:val="002A5AA1"/>
    <w:rsid w:val="002A7E92"/>
    <w:rsid w:val="002B0802"/>
    <w:rsid w:val="002B3038"/>
    <w:rsid w:val="002B39EC"/>
    <w:rsid w:val="002B649F"/>
    <w:rsid w:val="002C3D19"/>
    <w:rsid w:val="002C558B"/>
    <w:rsid w:val="002C7E4A"/>
    <w:rsid w:val="002D212F"/>
    <w:rsid w:val="002D66AB"/>
    <w:rsid w:val="002D77C2"/>
    <w:rsid w:val="002E1F58"/>
    <w:rsid w:val="002F1B45"/>
    <w:rsid w:val="002F59A4"/>
    <w:rsid w:val="002F69E4"/>
    <w:rsid w:val="002F757B"/>
    <w:rsid w:val="003014D5"/>
    <w:rsid w:val="00303655"/>
    <w:rsid w:val="0030407A"/>
    <w:rsid w:val="00304286"/>
    <w:rsid w:val="00305DE1"/>
    <w:rsid w:val="0031030E"/>
    <w:rsid w:val="00320F34"/>
    <w:rsid w:val="00332A84"/>
    <w:rsid w:val="003339B6"/>
    <w:rsid w:val="003419F8"/>
    <w:rsid w:val="00343272"/>
    <w:rsid w:val="003457F7"/>
    <w:rsid w:val="0034594B"/>
    <w:rsid w:val="00350E38"/>
    <w:rsid w:val="00360923"/>
    <w:rsid w:val="003624BE"/>
    <w:rsid w:val="00365873"/>
    <w:rsid w:val="00373CE5"/>
    <w:rsid w:val="00377025"/>
    <w:rsid w:val="00381E87"/>
    <w:rsid w:val="00383835"/>
    <w:rsid w:val="00386075"/>
    <w:rsid w:val="0039028D"/>
    <w:rsid w:val="003907E6"/>
    <w:rsid w:val="00391141"/>
    <w:rsid w:val="003958B5"/>
    <w:rsid w:val="003978A5"/>
    <w:rsid w:val="003B5C20"/>
    <w:rsid w:val="003C2ECF"/>
    <w:rsid w:val="003C3E86"/>
    <w:rsid w:val="003C5134"/>
    <w:rsid w:val="003D1B36"/>
    <w:rsid w:val="003D1BAE"/>
    <w:rsid w:val="003D226C"/>
    <w:rsid w:val="003D3053"/>
    <w:rsid w:val="003E30AF"/>
    <w:rsid w:val="003E38D9"/>
    <w:rsid w:val="003E704B"/>
    <w:rsid w:val="003E7B87"/>
    <w:rsid w:val="003E7CCF"/>
    <w:rsid w:val="003F013F"/>
    <w:rsid w:val="003F112A"/>
    <w:rsid w:val="003F2927"/>
    <w:rsid w:val="003F657E"/>
    <w:rsid w:val="0040035E"/>
    <w:rsid w:val="0040537F"/>
    <w:rsid w:val="00407893"/>
    <w:rsid w:val="00416421"/>
    <w:rsid w:val="00416512"/>
    <w:rsid w:val="004169DB"/>
    <w:rsid w:val="004256D6"/>
    <w:rsid w:val="00427842"/>
    <w:rsid w:val="00434785"/>
    <w:rsid w:val="00434FDF"/>
    <w:rsid w:val="00435ADF"/>
    <w:rsid w:val="004361A3"/>
    <w:rsid w:val="00437E7F"/>
    <w:rsid w:val="00443167"/>
    <w:rsid w:val="00444F80"/>
    <w:rsid w:val="00453028"/>
    <w:rsid w:val="0045318E"/>
    <w:rsid w:val="004547C4"/>
    <w:rsid w:val="00456798"/>
    <w:rsid w:val="004576F3"/>
    <w:rsid w:val="00461086"/>
    <w:rsid w:val="004611CD"/>
    <w:rsid w:val="00462082"/>
    <w:rsid w:val="00463006"/>
    <w:rsid w:val="00467E75"/>
    <w:rsid w:val="00471214"/>
    <w:rsid w:val="00477E17"/>
    <w:rsid w:val="004974F9"/>
    <w:rsid w:val="004A5E0D"/>
    <w:rsid w:val="004B1E3E"/>
    <w:rsid w:val="004B2130"/>
    <w:rsid w:val="004B2834"/>
    <w:rsid w:val="004B4576"/>
    <w:rsid w:val="004B77CB"/>
    <w:rsid w:val="004C11BB"/>
    <w:rsid w:val="004C43C3"/>
    <w:rsid w:val="004C7F2F"/>
    <w:rsid w:val="004D3E65"/>
    <w:rsid w:val="004E1B45"/>
    <w:rsid w:val="004E5430"/>
    <w:rsid w:val="004E6014"/>
    <w:rsid w:val="004E6EBB"/>
    <w:rsid w:val="004F07F9"/>
    <w:rsid w:val="004F0B7C"/>
    <w:rsid w:val="004F5723"/>
    <w:rsid w:val="00500A7D"/>
    <w:rsid w:val="00500F89"/>
    <w:rsid w:val="00502ED5"/>
    <w:rsid w:val="00504250"/>
    <w:rsid w:val="00504C8D"/>
    <w:rsid w:val="005101A0"/>
    <w:rsid w:val="005138E2"/>
    <w:rsid w:val="005142BA"/>
    <w:rsid w:val="00521882"/>
    <w:rsid w:val="00526F08"/>
    <w:rsid w:val="00532838"/>
    <w:rsid w:val="00536C2B"/>
    <w:rsid w:val="00537065"/>
    <w:rsid w:val="00544CE0"/>
    <w:rsid w:val="005544A3"/>
    <w:rsid w:val="00554AB3"/>
    <w:rsid w:val="00556BA9"/>
    <w:rsid w:val="00574B0E"/>
    <w:rsid w:val="00574D04"/>
    <w:rsid w:val="0057507A"/>
    <w:rsid w:val="0057691E"/>
    <w:rsid w:val="00577E53"/>
    <w:rsid w:val="005826C2"/>
    <w:rsid w:val="00585460"/>
    <w:rsid w:val="00585B2B"/>
    <w:rsid w:val="00590847"/>
    <w:rsid w:val="00591BEB"/>
    <w:rsid w:val="00592865"/>
    <w:rsid w:val="00593BEC"/>
    <w:rsid w:val="00594275"/>
    <w:rsid w:val="005958EB"/>
    <w:rsid w:val="00596054"/>
    <w:rsid w:val="005A2E5D"/>
    <w:rsid w:val="005B0FB7"/>
    <w:rsid w:val="005C1D02"/>
    <w:rsid w:val="005C39B7"/>
    <w:rsid w:val="005C73A7"/>
    <w:rsid w:val="005D3CB9"/>
    <w:rsid w:val="005D708F"/>
    <w:rsid w:val="005E43AE"/>
    <w:rsid w:val="005E5B7B"/>
    <w:rsid w:val="005F6175"/>
    <w:rsid w:val="005F735B"/>
    <w:rsid w:val="005F7D9D"/>
    <w:rsid w:val="00604D22"/>
    <w:rsid w:val="00605CEC"/>
    <w:rsid w:val="00606FD6"/>
    <w:rsid w:val="00617276"/>
    <w:rsid w:val="0062044F"/>
    <w:rsid w:val="00622108"/>
    <w:rsid w:val="0062673C"/>
    <w:rsid w:val="006304E1"/>
    <w:rsid w:val="00632494"/>
    <w:rsid w:val="00642BFE"/>
    <w:rsid w:val="0064637C"/>
    <w:rsid w:val="00650D1F"/>
    <w:rsid w:val="00650DD2"/>
    <w:rsid w:val="00653E3D"/>
    <w:rsid w:val="006557E3"/>
    <w:rsid w:val="006605FF"/>
    <w:rsid w:val="00661B05"/>
    <w:rsid w:val="0066262D"/>
    <w:rsid w:val="00671B61"/>
    <w:rsid w:val="00671BE0"/>
    <w:rsid w:val="006779FE"/>
    <w:rsid w:val="00684223"/>
    <w:rsid w:val="00684854"/>
    <w:rsid w:val="00690DAD"/>
    <w:rsid w:val="006913F4"/>
    <w:rsid w:val="00692115"/>
    <w:rsid w:val="006A0C0F"/>
    <w:rsid w:val="006A1AFE"/>
    <w:rsid w:val="006A1F49"/>
    <w:rsid w:val="006A4367"/>
    <w:rsid w:val="006A7952"/>
    <w:rsid w:val="006B187D"/>
    <w:rsid w:val="006B2B4D"/>
    <w:rsid w:val="006B2E4B"/>
    <w:rsid w:val="006B5370"/>
    <w:rsid w:val="006B71EB"/>
    <w:rsid w:val="006B762E"/>
    <w:rsid w:val="006B7888"/>
    <w:rsid w:val="006C5F07"/>
    <w:rsid w:val="006C7E63"/>
    <w:rsid w:val="006D10D3"/>
    <w:rsid w:val="006D1176"/>
    <w:rsid w:val="006D363F"/>
    <w:rsid w:val="006D7D7C"/>
    <w:rsid w:val="006E10D7"/>
    <w:rsid w:val="006E13A1"/>
    <w:rsid w:val="006E3727"/>
    <w:rsid w:val="006E3EB3"/>
    <w:rsid w:val="006E504C"/>
    <w:rsid w:val="006F3395"/>
    <w:rsid w:val="006F4220"/>
    <w:rsid w:val="007014EE"/>
    <w:rsid w:val="00705D50"/>
    <w:rsid w:val="00706E99"/>
    <w:rsid w:val="00710ADA"/>
    <w:rsid w:val="00717C8D"/>
    <w:rsid w:val="0072166E"/>
    <w:rsid w:val="00724273"/>
    <w:rsid w:val="0073047C"/>
    <w:rsid w:val="00734366"/>
    <w:rsid w:val="007350BE"/>
    <w:rsid w:val="00735EC3"/>
    <w:rsid w:val="00736C39"/>
    <w:rsid w:val="00737083"/>
    <w:rsid w:val="00753604"/>
    <w:rsid w:val="00753737"/>
    <w:rsid w:val="00756A96"/>
    <w:rsid w:val="007625FF"/>
    <w:rsid w:val="00763105"/>
    <w:rsid w:val="00766F3C"/>
    <w:rsid w:val="00771A74"/>
    <w:rsid w:val="00772061"/>
    <w:rsid w:val="00773872"/>
    <w:rsid w:val="00773FAF"/>
    <w:rsid w:val="0077583D"/>
    <w:rsid w:val="00776A15"/>
    <w:rsid w:val="00776DC1"/>
    <w:rsid w:val="0078261B"/>
    <w:rsid w:val="0078407E"/>
    <w:rsid w:val="007854C9"/>
    <w:rsid w:val="00787C5F"/>
    <w:rsid w:val="00791070"/>
    <w:rsid w:val="00793DB1"/>
    <w:rsid w:val="007A0DAE"/>
    <w:rsid w:val="007A12FE"/>
    <w:rsid w:val="007A24E3"/>
    <w:rsid w:val="007A6BB1"/>
    <w:rsid w:val="007B35F8"/>
    <w:rsid w:val="007B6132"/>
    <w:rsid w:val="007B6215"/>
    <w:rsid w:val="007B6EF3"/>
    <w:rsid w:val="007B7456"/>
    <w:rsid w:val="007C629B"/>
    <w:rsid w:val="007C6C5D"/>
    <w:rsid w:val="007D0954"/>
    <w:rsid w:val="007D0A41"/>
    <w:rsid w:val="007D322D"/>
    <w:rsid w:val="007D4BB2"/>
    <w:rsid w:val="007D67B9"/>
    <w:rsid w:val="007D7058"/>
    <w:rsid w:val="007E1BEE"/>
    <w:rsid w:val="007E666E"/>
    <w:rsid w:val="007F3F0F"/>
    <w:rsid w:val="00804F9A"/>
    <w:rsid w:val="0081122F"/>
    <w:rsid w:val="00811901"/>
    <w:rsid w:val="00820359"/>
    <w:rsid w:val="0082383A"/>
    <w:rsid w:val="00825870"/>
    <w:rsid w:val="00825A6D"/>
    <w:rsid w:val="00830165"/>
    <w:rsid w:val="00831943"/>
    <w:rsid w:val="00832377"/>
    <w:rsid w:val="00836046"/>
    <w:rsid w:val="00836A5B"/>
    <w:rsid w:val="00847DDA"/>
    <w:rsid w:val="00851C70"/>
    <w:rsid w:val="00855009"/>
    <w:rsid w:val="00855F63"/>
    <w:rsid w:val="008578EB"/>
    <w:rsid w:val="00861112"/>
    <w:rsid w:val="00862E4C"/>
    <w:rsid w:val="00864715"/>
    <w:rsid w:val="0087095C"/>
    <w:rsid w:val="008757AD"/>
    <w:rsid w:val="00875B44"/>
    <w:rsid w:val="00880F47"/>
    <w:rsid w:val="00884619"/>
    <w:rsid w:val="00886B07"/>
    <w:rsid w:val="00890D06"/>
    <w:rsid w:val="0089370D"/>
    <w:rsid w:val="008A290B"/>
    <w:rsid w:val="008A496E"/>
    <w:rsid w:val="008A6F93"/>
    <w:rsid w:val="008B0107"/>
    <w:rsid w:val="008B11A0"/>
    <w:rsid w:val="008B232B"/>
    <w:rsid w:val="008B7CC1"/>
    <w:rsid w:val="008C237B"/>
    <w:rsid w:val="008C33B2"/>
    <w:rsid w:val="008C43BB"/>
    <w:rsid w:val="008D376E"/>
    <w:rsid w:val="008D65DC"/>
    <w:rsid w:val="008D7B6C"/>
    <w:rsid w:val="008E107B"/>
    <w:rsid w:val="008E1A3B"/>
    <w:rsid w:val="008E20A3"/>
    <w:rsid w:val="008E401D"/>
    <w:rsid w:val="008F0F6C"/>
    <w:rsid w:val="008F3FFF"/>
    <w:rsid w:val="009002E2"/>
    <w:rsid w:val="009025AC"/>
    <w:rsid w:val="00904C4A"/>
    <w:rsid w:val="00911C51"/>
    <w:rsid w:val="00914DEF"/>
    <w:rsid w:val="009152C3"/>
    <w:rsid w:val="009163AE"/>
    <w:rsid w:val="00923BBD"/>
    <w:rsid w:val="0092430A"/>
    <w:rsid w:val="0092580B"/>
    <w:rsid w:val="00925F65"/>
    <w:rsid w:val="0092657E"/>
    <w:rsid w:val="009341C6"/>
    <w:rsid w:val="00941E72"/>
    <w:rsid w:val="0094275E"/>
    <w:rsid w:val="00954CDD"/>
    <w:rsid w:val="00955A92"/>
    <w:rsid w:val="00956B97"/>
    <w:rsid w:val="0095752F"/>
    <w:rsid w:val="009661DA"/>
    <w:rsid w:val="00966524"/>
    <w:rsid w:val="00966A1C"/>
    <w:rsid w:val="0097045B"/>
    <w:rsid w:val="009712A2"/>
    <w:rsid w:val="00980E0B"/>
    <w:rsid w:val="00987E52"/>
    <w:rsid w:val="0099039F"/>
    <w:rsid w:val="0099216B"/>
    <w:rsid w:val="00993A2F"/>
    <w:rsid w:val="009A16E8"/>
    <w:rsid w:val="009A3348"/>
    <w:rsid w:val="009A6756"/>
    <w:rsid w:val="009B0C2B"/>
    <w:rsid w:val="009B47E6"/>
    <w:rsid w:val="009B6D02"/>
    <w:rsid w:val="009C3FDE"/>
    <w:rsid w:val="009D2745"/>
    <w:rsid w:val="009D3702"/>
    <w:rsid w:val="009D6ED5"/>
    <w:rsid w:val="009D7A04"/>
    <w:rsid w:val="009E09DA"/>
    <w:rsid w:val="009E11A5"/>
    <w:rsid w:val="009E5E0E"/>
    <w:rsid w:val="009E6E64"/>
    <w:rsid w:val="009F20CB"/>
    <w:rsid w:val="009F4FD3"/>
    <w:rsid w:val="009F71AB"/>
    <w:rsid w:val="009F7F82"/>
    <w:rsid w:val="00A01695"/>
    <w:rsid w:val="00A01C4D"/>
    <w:rsid w:val="00A0344E"/>
    <w:rsid w:val="00A17B6A"/>
    <w:rsid w:val="00A206BC"/>
    <w:rsid w:val="00A25DD3"/>
    <w:rsid w:val="00A26A87"/>
    <w:rsid w:val="00A27774"/>
    <w:rsid w:val="00A31A0D"/>
    <w:rsid w:val="00A31E78"/>
    <w:rsid w:val="00A3296B"/>
    <w:rsid w:val="00A377FA"/>
    <w:rsid w:val="00A42323"/>
    <w:rsid w:val="00A42D5C"/>
    <w:rsid w:val="00A4303C"/>
    <w:rsid w:val="00A6087A"/>
    <w:rsid w:val="00A618E7"/>
    <w:rsid w:val="00A76414"/>
    <w:rsid w:val="00A7676E"/>
    <w:rsid w:val="00A76C48"/>
    <w:rsid w:val="00A80317"/>
    <w:rsid w:val="00A86910"/>
    <w:rsid w:val="00A87377"/>
    <w:rsid w:val="00A93A17"/>
    <w:rsid w:val="00A96A73"/>
    <w:rsid w:val="00AA0147"/>
    <w:rsid w:val="00AA050F"/>
    <w:rsid w:val="00AA57E1"/>
    <w:rsid w:val="00AA5BC6"/>
    <w:rsid w:val="00AB374A"/>
    <w:rsid w:val="00AB5AC9"/>
    <w:rsid w:val="00AB7596"/>
    <w:rsid w:val="00AE1544"/>
    <w:rsid w:val="00AE1CB6"/>
    <w:rsid w:val="00AE2F09"/>
    <w:rsid w:val="00AF44D6"/>
    <w:rsid w:val="00AF46A7"/>
    <w:rsid w:val="00AF5E80"/>
    <w:rsid w:val="00AF6B54"/>
    <w:rsid w:val="00B01162"/>
    <w:rsid w:val="00B031D9"/>
    <w:rsid w:val="00B04EFE"/>
    <w:rsid w:val="00B14238"/>
    <w:rsid w:val="00B1486C"/>
    <w:rsid w:val="00B1565D"/>
    <w:rsid w:val="00B1568B"/>
    <w:rsid w:val="00B21452"/>
    <w:rsid w:val="00B21CE9"/>
    <w:rsid w:val="00B23021"/>
    <w:rsid w:val="00B2605C"/>
    <w:rsid w:val="00B26C00"/>
    <w:rsid w:val="00B32618"/>
    <w:rsid w:val="00B36A62"/>
    <w:rsid w:val="00B45396"/>
    <w:rsid w:val="00B45BCE"/>
    <w:rsid w:val="00B53580"/>
    <w:rsid w:val="00B55DD6"/>
    <w:rsid w:val="00B564A7"/>
    <w:rsid w:val="00B56FD5"/>
    <w:rsid w:val="00B60070"/>
    <w:rsid w:val="00B609EE"/>
    <w:rsid w:val="00B62195"/>
    <w:rsid w:val="00B622B2"/>
    <w:rsid w:val="00B62538"/>
    <w:rsid w:val="00B63EB9"/>
    <w:rsid w:val="00B65088"/>
    <w:rsid w:val="00B7028D"/>
    <w:rsid w:val="00B71972"/>
    <w:rsid w:val="00B72738"/>
    <w:rsid w:val="00B72869"/>
    <w:rsid w:val="00B72EF9"/>
    <w:rsid w:val="00B74C19"/>
    <w:rsid w:val="00B80DE0"/>
    <w:rsid w:val="00B83402"/>
    <w:rsid w:val="00B848E5"/>
    <w:rsid w:val="00B9302B"/>
    <w:rsid w:val="00B94985"/>
    <w:rsid w:val="00B9598D"/>
    <w:rsid w:val="00B97445"/>
    <w:rsid w:val="00BA52E5"/>
    <w:rsid w:val="00BA7BCB"/>
    <w:rsid w:val="00BB0CFB"/>
    <w:rsid w:val="00BB0D42"/>
    <w:rsid w:val="00BB3D94"/>
    <w:rsid w:val="00BC1193"/>
    <w:rsid w:val="00BC46A1"/>
    <w:rsid w:val="00BC576B"/>
    <w:rsid w:val="00BD0B89"/>
    <w:rsid w:val="00BD24DB"/>
    <w:rsid w:val="00BD4629"/>
    <w:rsid w:val="00BD4CAF"/>
    <w:rsid w:val="00BD580C"/>
    <w:rsid w:val="00BF04F3"/>
    <w:rsid w:val="00BF5AF0"/>
    <w:rsid w:val="00BF6222"/>
    <w:rsid w:val="00C01DF9"/>
    <w:rsid w:val="00C02FE9"/>
    <w:rsid w:val="00C03E75"/>
    <w:rsid w:val="00C07E35"/>
    <w:rsid w:val="00C144B2"/>
    <w:rsid w:val="00C20A0A"/>
    <w:rsid w:val="00C21046"/>
    <w:rsid w:val="00C22907"/>
    <w:rsid w:val="00C24FCC"/>
    <w:rsid w:val="00C26F9A"/>
    <w:rsid w:val="00C27D55"/>
    <w:rsid w:val="00C32C5D"/>
    <w:rsid w:val="00C40D0A"/>
    <w:rsid w:val="00C4739D"/>
    <w:rsid w:val="00C53EAB"/>
    <w:rsid w:val="00C60F33"/>
    <w:rsid w:val="00C61BB4"/>
    <w:rsid w:val="00C62CA1"/>
    <w:rsid w:val="00C64358"/>
    <w:rsid w:val="00C65A07"/>
    <w:rsid w:val="00C73126"/>
    <w:rsid w:val="00C7558F"/>
    <w:rsid w:val="00C7581D"/>
    <w:rsid w:val="00C759E4"/>
    <w:rsid w:val="00C7631A"/>
    <w:rsid w:val="00C77DEB"/>
    <w:rsid w:val="00C84FC3"/>
    <w:rsid w:val="00C854A9"/>
    <w:rsid w:val="00C8775D"/>
    <w:rsid w:val="00C9432B"/>
    <w:rsid w:val="00C96A38"/>
    <w:rsid w:val="00CA1D27"/>
    <w:rsid w:val="00CA2CF6"/>
    <w:rsid w:val="00CA44E1"/>
    <w:rsid w:val="00CA4E58"/>
    <w:rsid w:val="00CB1E19"/>
    <w:rsid w:val="00CB460E"/>
    <w:rsid w:val="00CB57AA"/>
    <w:rsid w:val="00CB5FA0"/>
    <w:rsid w:val="00CB6C17"/>
    <w:rsid w:val="00CC0828"/>
    <w:rsid w:val="00CC1D90"/>
    <w:rsid w:val="00CC3CBE"/>
    <w:rsid w:val="00CC6D8A"/>
    <w:rsid w:val="00CD1B12"/>
    <w:rsid w:val="00CD29D8"/>
    <w:rsid w:val="00CD57C3"/>
    <w:rsid w:val="00CD7D51"/>
    <w:rsid w:val="00CE01C8"/>
    <w:rsid w:val="00CE10BC"/>
    <w:rsid w:val="00CE3D03"/>
    <w:rsid w:val="00CE57D7"/>
    <w:rsid w:val="00CE7B74"/>
    <w:rsid w:val="00CF0F19"/>
    <w:rsid w:val="00CF2A09"/>
    <w:rsid w:val="00D03A82"/>
    <w:rsid w:val="00D1092C"/>
    <w:rsid w:val="00D1139C"/>
    <w:rsid w:val="00D11A0F"/>
    <w:rsid w:val="00D12959"/>
    <w:rsid w:val="00D13260"/>
    <w:rsid w:val="00D20454"/>
    <w:rsid w:val="00D209A6"/>
    <w:rsid w:val="00D22E21"/>
    <w:rsid w:val="00D22E57"/>
    <w:rsid w:val="00D24B5E"/>
    <w:rsid w:val="00D26D19"/>
    <w:rsid w:val="00D3185D"/>
    <w:rsid w:val="00D32EDA"/>
    <w:rsid w:val="00D33CBF"/>
    <w:rsid w:val="00D369F8"/>
    <w:rsid w:val="00D36D02"/>
    <w:rsid w:val="00D36FF0"/>
    <w:rsid w:val="00D40169"/>
    <w:rsid w:val="00D42DC2"/>
    <w:rsid w:val="00D47E78"/>
    <w:rsid w:val="00D52B09"/>
    <w:rsid w:val="00D5574D"/>
    <w:rsid w:val="00D574D8"/>
    <w:rsid w:val="00D66236"/>
    <w:rsid w:val="00D673FD"/>
    <w:rsid w:val="00D736FA"/>
    <w:rsid w:val="00D76E33"/>
    <w:rsid w:val="00D823CD"/>
    <w:rsid w:val="00D83C16"/>
    <w:rsid w:val="00D86E09"/>
    <w:rsid w:val="00D87AC9"/>
    <w:rsid w:val="00D93462"/>
    <w:rsid w:val="00DA547B"/>
    <w:rsid w:val="00DA7EDF"/>
    <w:rsid w:val="00DB20A5"/>
    <w:rsid w:val="00DB2994"/>
    <w:rsid w:val="00DC2569"/>
    <w:rsid w:val="00DC3848"/>
    <w:rsid w:val="00DC3F0C"/>
    <w:rsid w:val="00DC623C"/>
    <w:rsid w:val="00DD1B70"/>
    <w:rsid w:val="00DD3617"/>
    <w:rsid w:val="00DD3A02"/>
    <w:rsid w:val="00DD4122"/>
    <w:rsid w:val="00DD68CD"/>
    <w:rsid w:val="00DE0A7D"/>
    <w:rsid w:val="00DE6156"/>
    <w:rsid w:val="00DF1EDB"/>
    <w:rsid w:val="00DF218F"/>
    <w:rsid w:val="00DF317C"/>
    <w:rsid w:val="00DF7204"/>
    <w:rsid w:val="00E01368"/>
    <w:rsid w:val="00E06F89"/>
    <w:rsid w:val="00E07A54"/>
    <w:rsid w:val="00E13D83"/>
    <w:rsid w:val="00E1459C"/>
    <w:rsid w:val="00E160F6"/>
    <w:rsid w:val="00E17858"/>
    <w:rsid w:val="00E210C2"/>
    <w:rsid w:val="00E2677E"/>
    <w:rsid w:val="00E30628"/>
    <w:rsid w:val="00E365D6"/>
    <w:rsid w:val="00E570CE"/>
    <w:rsid w:val="00E715E6"/>
    <w:rsid w:val="00E74AF8"/>
    <w:rsid w:val="00E74D89"/>
    <w:rsid w:val="00E76AE5"/>
    <w:rsid w:val="00E82EA0"/>
    <w:rsid w:val="00E8716F"/>
    <w:rsid w:val="00E87947"/>
    <w:rsid w:val="00E90503"/>
    <w:rsid w:val="00E91586"/>
    <w:rsid w:val="00E92C41"/>
    <w:rsid w:val="00E94EB2"/>
    <w:rsid w:val="00E95FE4"/>
    <w:rsid w:val="00EA357B"/>
    <w:rsid w:val="00EA3B04"/>
    <w:rsid w:val="00EB4B52"/>
    <w:rsid w:val="00EB6302"/>
    <w:rsid w:val="00EC0348"/>
    <w:rsid w:val="00EC0DEE"/>
    <w:rsid w:val="00EC2150"/>
    <w:rsid w:val="00EC4ECD"/>
    <w:rsid w:val="00ED51CC"/>
    <w:rsid w:val="00EE0092"/>
    <w:rsid w:val="00EE00D6"/>
    <w:rsid w:val="00EE1D21"/>
    <w:rsid w:val="00EE6FE5"/>
    <w:rsid w:val="00F0462D"/>
    <w:rsid w:val="00F049EE"/>
    <w:rsid w:val="00F05276"/>
    <w:rsid w:val="00F06AA0"/>
    <w:rsid w:val="00F166AE"/>
    <w:rsid w:val="00F207A1"/>
    <w:rsid w:val="00F246FA"/>
    <w:rsid w:val="00F31DDC"/>
    <w:rsid w:val="00F3221B"/>
    <w:rsid w:val="00F35D95"/>
    <w:rsid w:val="00F43C5E"/>
    <w:rsid w:val="00F4596C"/>
    <w:rsid w:val="00F55475"/>
    <w:rsid w:val="00F55EE5"/>
    <w:rsid w:val="00F5717F"/>
    <w:rsid w:val="00F60DAE"/>
    <w:rsid w:val="00F64548"/>
    <w:rsid w:val="00F653C5"/>
    <w:rsid w:val="00F72A26"/>
    <w:rsid w:val="00F873BA"/>
    <w:rsid w:val="00F87EA4"/>
    <w:rsid w:val="00F93BF6"/>
    <w:rsid w:val="00F947C5"/>
    <w:rsid w:val="00FA1C08"/>
    <w:rsid w:val="00FA259E"/>
    <w:rsid w:val="00FA430D"/>
    <w:rsid w:val="00FA57EE"/>
    <w:rsid w:val="00FB2681"/>
    <w:rsid w:val="00FC00E9"/>
    <w:rsid w:val="00FC25F5"/>
    <w:rsid w:val="00FC2795"/>
    <w:rsid w:val="00FC4361"/>
    <w:rsid w:val="00FD3ADF"/>
    <w:rsid w:val="00FD4C84"/>
    <w:rsid w:val="00FD4E99"/>
    <w:rsid w:val="00FD586B"/>
    <w:rsid w:val="00FE17B9"/>
    <w:rsid w:val="00FE403C"/>
    <w:rsid w:val="00FF0ABA"/>
    <w:rsid w:val="00FF2DF6"/>
    <w:rsid w:val="00FF3110"/>
    <w:rsid w:val="00FF36CC"/>
    <w:rsid w:val="00FF63E5"/>
    <w:rsid w:val="00FF706B"/>
    <w:rsid w:val="00FF7765"/>
    <w:rsid w:val="01B71297"/>
    <w:rsid w:val="03000077"/>
    <w:rsid w:val="03EA0042"/>
    <w:rsid w:val="0463077C"/>
    <w:rsid w:val="05574128"/>
    <w:rsid w:val="07911226"/>
    <w:rsid w:val="09EF10EE"/>
    <w:rsid w:val="0A0344DA"/>
    <w:rsid w:val="0B1D2DC7"/>
    <w:rsid w:val="0E161733"/>
    <w:rsid w:val="0EAD622C"/>
    <w:rsid w:val="0F7976A2"/>
    <w:rsid w:val="11984ECD"/>
    <w:rsid w:val="1AB82B6D"/>
    <w:rsid w:val="1B3B7883"/>
    <w:rsid w:val="1F1B286A"/>
    <w:rsid w:val="20D06777"/>
    <w:rsid w:val="248D2063"/>
    <w:rsid w:val="271641B7"/>
    <w:rsid w:val="28794CEB"/>
    <w:rsid w:val="2A160305"/>
    <w:rsid w:val="2DB7286D"/>
    <w:rsid w:val="313F4C9B"/>
    <w:rsid w:val="31A8140B"/>
    <w:rsid w:val="3344553F"/>
    <w:rsid w:val="347B2CCE"/>
    <w:rsid w:val="35144BA3"/>
    <w:rsid w:val="36132816"/>
    <w:rsid w:val="36364F05"/>
    <w:rsid w:val="38CF556E"/>
    <w:rsid w:val="3A826A35"/>
    <w:rsid w:val="3C886C6C"/>
    <w:rsid w:val="3E332AC7"/>
    <w:rsid w:val="3E93265B"/>
    <w:rsid w:val="3FBA6DA0"/>
    <w:rsid w:val="3FC911EA"/>
    <w:rsid w:val="428C1F3A"/>
    <w:rsid w:val="446B4D5D"/>
    <w:rsid w:val="44D805C2"/>
    <w:rsid w:val="46955E71"/>
    <w:rsid w:val="49461EBC"/>
    <w:rsid w:val="4C2C1409"/>
    <w:rsid w:val="4CB217F4"/>
    <w:rsid w:val="51235B66"/>
    <w:rsid w:val="52F53A55"/>
    <w:rsid w:val="55626566"/>
    <w:rsid w:val="596109C3"/>
    <w:rsid w:val="5F624868"/>
    <w:rsid w:val="62FD6C74"/>
    <w:rsid w:val="6DAF2DC3"/>
    <w:rsid w:val="79E71EE7"/>
    <w:rsid w:val="7FD9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semiHidden/>
    <w:unhideWhenUsed/>
    <w:qFormat/>
    <w:uiPriority w:val="39"/>
  </w:style>
  <w:style w:type="paragraph" w:styleId="7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字符"/>
    <w:basedOn w:val="10"/>
    <w:link w:val="5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4"/>
    <w:qFormat/>
    <w:uiPriority w:val="99"/>
    <w:rPr>
      <w:sz w:val="18"/>
      <w:szCs w:val="18"/>
    </w:rPr>
  </w:style>
  <w:style w:type="paragraph" w:customStyle="1" w:styleId="14">
    <w:name w:val="我的标题1"/>
    <w:basedOn w:val="2"/>
    <w:link w:val="17"/>
    <w:qFormat/>
    <w:uiPriority w:val="0"/>
    <w:pPr>
      <w:numPr>
        <w:ilvl w:val="0"/>
        <w:numId w:val="1"/>
      </w:numPr>
      <w:spacing w:before="200" w:after="200"/>
    </w:pPr>
    <w:rPr>
      <w:bCs w:val="0"/>
      <w:sz w:val="32"/>
    </w:rPr>
  </w:style>
  <w:style w:type="paragraph" w:customStyle="1" w:styleId="15">
    <w:name w:val="我的标题2"/>
    <w:basedOn w:val="3"/>
    <w:link w:val="20"/>
    <w:autoRedefine/>
    <w:qFormat/>
    <w:uiPriority w:val="0"/>
    <w:pPr>
      <w:numPr>
        <w:ilvl w:val="1"/>
        <w:numId w:val="1"/>
      </w:numPr>
      <w:spacing w:before="0" w:after="0" w:line="415" w:lineRule="auto"/>
    </w:pPr>
    <w:rPr>
      <w:sz w:val="24"/>
    </w:rPr>
  </w:style>
  <w:style w:type="character" w:customStyle="1" w:styleId="16">
    <w:name w:val="标题 1 字符"/>
    <w:basedOn w:val="10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我的标题1 字符"/>
    <w:basedOn w:val="16"/>
    <w:link w:val="14"/>
    <w:autoRedefine/>
    <w:qFormat/>
    <w:uiPriority w:val="0"/>
    <w:rPr>
      <w:bCs w:val="0"/>
      <w:kern w:val="44"/>
      <w:sz w:val="32"/>
      <w:szCs w:val="44"/>
    </w:rPr>
  </w:style>
  <w:style w:type="paragraph" w:customStyle="1" w:styleId="18">
    <w:name w:val="我的正文"/>
    <w:basedOn w:val="1"/>
    <w:link w:val="21"/>
    <w:autoRedefine/>
    <w:qFormat/>
    <w:uiPriority w:val="0"/>
    <w:pPr>
      <w:keepNext/>
      <w:keepLines/>
      <w:ind w:left="839"/>
    </w:pPr>
  </w:style>
  <w:style w:type="character" w:customStyle="1" w:styleId="19">
    <w:name w:val="标题 2 字符"/>
    <w:basedOn w:val="10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我的标题2 字符"/>
    <w:basedOn w:val="19"/>
    <w:link w:val="15"/>
    <w:qFormat/>
    <w:uiPriority w:val="0"/>
    <w:rPr>
      <w:rFonts w:asciiTheme="majorHAnsi" w:hAnsiTheme="majorHAnsi" w:eastAsiaTheme="majorEastAsia" w:cstheme="majorBidi"/>
      <w:sz w:val="24"/>
      <w:szCs w:val="32"/>
    </w:rPr>
  </w:style>
  <w:style w:type="character" w:customStyle="1" w:styleId="21">
    <w:name w:val="我的正文 字符"/>
    <w:basedOn w:val="10"/>
    <w:link w:val="18"/>
    <w:qFormat/>
    <w:uiPriority w:val="0"/>
  </w:style>
  <w:style w:type="character" w:customStyle="1" w:styleId="22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23">
    <w:name w:val="WPSOffice手动目录 1"/>
    <w:autoRedefine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24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3" Type="http://schemas.openxmlformats.org/officeDocument/2006/relationships/fontTable" Target="fontTable.xml"/><Relationship Id="rId72" Type="http://schemas.openxmlformats.org/officeDocument/2006/relationships/customXml" Target="../customXml/item2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D6B390-0F21-4A8A-9041-346E4A4AF9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6521</Words>
  <Characters>6653</Characters>
  <Lines>90</Lines>
  <Paragraphs>25</Paragraphs>
  <TotalTime>176</TotalTime>
  <ScaleCrop>false</ScaleCrop>
  <LinksUpToDate>false</LinksUpToDate>
  <CharactersWithSpaces>6866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2019-11-20T08:11:00Z</dcterms:created>
  <dc:creator>强 黎</dc:creator>
  <cp:lastModifiedBy>蔡蔡ccx939</cp:lastModifiedBy>
  <dcterms:modified xsi:type="dcterms:W3CDTF">2024-12-12T06:14:34Z</dcterms:modified>
  <cp:revision>722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96B90F691C5649A7A577C8FFC51361AA</vt:lpwstr>
  </property>
</Properties>
</file>